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 xml:space="preserve">Działdowo, dnia </w:t>
      </w:r>
      <w:r w:rsidR="005531E7" w:rsidRPr="007219CF">
        <w:rPr>
          <w:rFonts w:ascii="Arial" w:hAnsi="Arial" w:cs="Arial"/>
          <w:sz w:val="24"/>
          <w:szCs w:val="24"/>
        </w:rPr>
        <w:t>12</w:t>
      </w:r>
      <w:r w:rsidRPr="007219CF">
        <w:rPr>
          <w:rFonts w:ascii="Arial" w:hAnsi="Arial" w:cs="Arial"/>
          <w:sz w:val="24"/>
          <w:szCs w:val="24"/>
        </w:rPr>
        <w:t>.0</w:t>
      </w:r>
      <w:r w:rsidR="005531E7" w:rsidRPr="007219CF">
        <w:rPr>
          <w:rFonts w:ascii="Arial" w:hAnsi="Arial" w:cs="Arial"/>
          <w:sz w:val="24"/>
          <w:szCs w:val="24"/>
        </w:rPr>
        <w:t>8</w:t>
      </w:r>
      <w:r w:rsidRPr="007219CF">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656AE0" w:rsidRDefault="005651AB">
      <w:pPr>
        <w:pStyle w:val="p"/>
        <w:rPr>
          <w:rStyle w:val="bold"/>
          <w:rFonts w:ascii="Arial" w:hAnsi="Arial" w:cs="Arial"/>
          <w:sz w:val="24"/>
          <w:szCs w:val="24"/>
        </w:rPr>
      </w:pPr>
      <w:r w:rsidRPr="00ED0576">
        <w:rPr>
          <w:rStyle w:val="bold"/>
          <w:rFonts w:ascii="Arial" w:hAnsi="Arial" w:cs="Arial"/>
          <w:sz w:val="24"/>
          <w:szCs w:val="24"/>
        </w:rPr>
        <w:t>Znak sprawy</w:t>
      </w:r>
      <w:r w:rsidRPr="00656AE0">
        <w:rPr>
          <w:rStyle w:val="bold"/>
          <w:rFonts w:ascii="Arial" w:hAnsi="Arial" w:cs="Arial"/>
          <w:sz w:val="24"/>
          <w:szCs w:val="24"/>
        </w:rPr>
        <w:t xml:space="preserve">: </w:t>
      </w:r>
      <w:r w:rsidR="00ED0576" w:rsidRPr="00656AE0">
        <w:rPr>
          <w:rStyle w:val="bold"/>
          <w:rFonts w:ascii="Arial" w:hAnsi="Arial" w:cs="Arial"/>
          <w:sz w:val="24"/>
          <w:szCs w:val="24"/>
        </w:rPr>
        <w:t>FZK.271.1</w:t>
      </w:r>
      <w:r w:rsidR="005531E7" w:rsidRPr="00656AE0">
        <w:rPr>
          <w:rStyle w:val="bold"/>
          <w:rFonts w:ascii="Arial" w:hAnsi="Arial" w:cs="Arial"/>
          <w:sz w:val="24"/>
          <w:szCs w:val="24"/>
        </w:rPr>
        <w:t>2</w:t>
      </w:r>
      <w:r w:rsidR="00ED0576" w:rsidRPr="00656AE0">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8554A1">
      <w:pPr>
        <w:pStyle w:val="p"/>
        <w:spacing w:line="360" w:lineRule="auto"/>
        <w:jc w:val="center"/>
        <w:rPr>
          <w:rFonts w:ascii="Arial" w:hAnsi="Arial" w:cs="Arial"/>
          <w:sz w:val="24"/>
          <w:szCs w:val="24"/>
        </w:rPr>
      </w:pPr>
      <w:r w:rsidRPr="00ED0576">
        <w:rPr>
          <w:rStyle w:val="bold"/>
          <w:rFonts w:ascii="Arial" w:hAnsi="Arial" w:cs="Arial"/>
          <w:sz w:val="24"/>
          <w:szCs w:val="24"/>
        </w:rPr>
        <w:t>„</w:t>
      </w:r>
      <w:r w:rsidR="008554A1">
        <w:rPr>
          <w:rStyle w:val="bold"/>
          <w:rFonts w:ascii="Arial" w:hAnsi="Arial" w:cs="Arial"/>
          <w:sz w:val="24"/>
          <w:szCs w:val="24"/>
        </w:rPr>
        <w:t>Utworzenie Klubu „Seniora+” wraz z wyposażeniem w miejscowości Kurki                na terenie Gminy Działdowo</w:t>
      </w:r>
      <w:r w:rsidRPr="00ED0576">
        <w:rPr>
          <w:rStyle w:val="bold"/>
          <w:rFonts w:ascii="Arial" w:hAnsi="Arial" w:cs="Arial"/>
          <w:sz w:val="24"/>
          <w:szCs w:val="24"/>
        </w:rPr>
        <w:t>”</w:t>
      </w:r>
    </w:p>
    <w:p w:rsidR="00E76AE5" w:rsidRPr="00ED0576" w:rsidRDefault="00E76AE5" w:rsidP="008554A1">
      <w:pPr>
        <w:pStyle w:val="p"/>
        <w:spacing w:line="360" w:lineRule="auto"/>
        <w:rPr>
          <w:rFonts w:ascii="Arial" w:hAnsi="Arial" w:cs="Arial"/>
          <w:sz w:val="28"/>
          <w:szCs w:val="28"/>
        </w:rPr>
      </w:pPr>
    </w:p>
    <w:p w:rsidR="00E76AE5" w:rsidRDefault="00E76AE5" w:rsidP="008554A1">
      <w:pPr>
        <w:pStyle w:val="p"/>
        <w:spacing w:line="360" w:lineRule="auto"/>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001B60C2">
        <w:rPr>
          <w:rFonts w:ascii="Arial" w:hAnsi="Arial" w:cs="Arial"/>
        </w:rPr>
        <w:t xml:space="preserve">        </w:t>
      </w:r>
      <w:r w:rsidRPr="008222B8">
        <w:rPr>
          <w:rFonts w:ascii="Arial" w:hAnsi="Arial" w:cs="Arial"/>
        </w:rPr>
        <w:t xml:space="preserve">      /-/ Mirosław Zieliński</w:t>
      </w: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094881"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542A7D">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623DA5">
        <w:rPr>
          <w:rFonts w:ascii="Arial" w:hAnsi="Arial" w:cs="Arial"/>
        </w:rPr>
        <w:t>21</w:t>
      </w:r>
      <w:r w:rsidRPr="00166832">
        <w:rPr>
          <w:rFonts w:ascii="Arial" w:hAnsi="Arial" w:cs="Arial"/>
        </w:rPr>
        <w:t xml:space="preserve">r., poz. </w:t>
      </w:r>
      <w:r w:rsidR="00623DA5">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D0421D" w:rsidRDefault="00060AE7" w:rsidP="00DE5016">
      <w:pPr>
        <w:pStyle w:val="justify"/>
        <w:rPr>
          <w:rFonts w:ascii="Arial" w:hAnsi="Arial" w:cs="Arial"/>
        </w:rPr>
      </w:pPr>
      <w:r w:rsidRPr="00D0421D">
        <w:rPr>
          <w:rFonts w:ascii="Arial" w:hAnsi="Arial" w:cs="Arial"/>
        </w:rPr>
        <w:t>Rodzaj zamówienia: Roboty budowlane</w:t>
      </w:r>
      <w:r w:rsidR="007219CF">
        <w:rPr>
          <w:rFonts w:ascii="Arial" w:hAnsi="Arial" w:cs="Arial"/>
        </w:rPr>
        <w:t>.</w:t>
      </w:r>
    </w:p>
    <w:p w:rsidR="00CE1F19" w:rsidRDefault="00CE1F19" w:rsidP="00DE5016">
      <w:pPr>
        <w:autoSpaceDE w:val="0"/>
        <w:autoSpaceDN w:val="0"/>
        <w:adjustRightInd w:val="0"/>
        <w:spacing w:after="0"/>
        <w:jc w:val="both"/>
        <w:rPr>
          <w:rFonts w:ascii="Arial" w:hAnsi="Arial" w:cs="Arial"/>
        </w:rPr>
      </w:pPr>
    </w:p>
    <w:p w:rsidR="003D3022" w:rsidRDefault="003D3022" w:rsidP="00DE5016">
      <w:pPr>
        <w:autoSpaceDE w:val="0"/>
        <w:autoSpaceDN w:val="0"/>
        <w:adjustRightInd w:val="0"/>
        <w:spacing w:after="0"/>
        <w:jc w:val="both"/>
        <w:rPr>
          <w:rFonts w:ascii="Arial" w:hAnsi="Arial" w:cs="Arial"/>
        </w:rPr>
      </w:pPr>
      <w:r>
        <w:rPr>
          <w:rFonts w:ascii="Arial" w:hAnsi="Arial" w:cs="Arial"/>
        </w:rPr>
        <w:t>Budynek gminny w Kurkach, który ma zostać zaadaptowany na potrzeby Klubu „Seniora” jest budynkiem użyteczności publicznej położonym na działce nr 20/2 w Kurkach</w:t>
      </w:r>
      <w:r w:rsidR="00A125F8">
        <w:rPr>
          <w:rFonts w:ascii="Arial" w:hAnsi="Arial" w:cs="Arial"/>
        </w:rPr>
        <w:t xml:space="preserve"> </w:t>
      </w:r>
      <w:r>
        <w:rPr>
          <w:rFonts w:ascii="Arial" w:hAnsi="Arial" w:cs="Arial"/>
        </w:rPr>
        <w:t>(Kurki 59).</w:t>
      </w:r>
    </w:p>
    <w:p w:rsidR="003D3022" w:rsidRDefault="003D3022" w:rsidP="00DE5016">
      <w:pPr>
        <w:autoSpaceDE w:val="0"/>
        <w:autoSpaceDN w:val="0"/>
        <w:adjustRightInd w:val="0"/>
        <w:spacing w:after="0"/>
        <w:jc w:val="both"/>
        <w:rPr>
          <w:rFonts w:ascii="Arial" w:hAnsi="Arial" w:cs="Arial"/>
        </w:rPr>
      </w:pPr>
      <w:r>
        <w:rPr>
          <w:rFonts w:ascii="Arial" w:hAnsi="Arial" w:cs="Arial"/>
        </w:rPr>
        <w:t>Przedmiot zamówienia dla ww. budynku stanowi:</w:t>
      </w:r>
    </w:p>
    <w:p w:rsidR="00742329" w:rsidRPr="00742329" w:rsidRDefault="00BC1DFD" w:rsidP="00DE5016">
      <w:pPr>
        <w:numPr>
          <w:ilvl w:val="0"/>
          <w:numId w:val="35"/>
        </w:numPr>
        <w:autoSpaceDE w:val="0"/>
        <w:autoSpaceDN w:val="0"/>
        <w:adjustRightInd w:val="0"/>
        <w:spacing w:after="0"/>
        <w:jc w:val="both"/>
      </w:pPr>
      <w:r>
        <w:rPr>
          <w:rFonts w:ascii="Arial" w:hAnsi="Arial" w:cs="Arial"/>
        </w:rPr>
        <w:t xml:space="preserve">Roboty budowlane </w:t>
      </w:r>
      <w:r w:rsidR="003D3022" w:rsidRPr="00742329">
        <w:rPr>
          <w:rFonts w:ascii="Arial" w:hAnsi="Arial" w:cs="Arial"/>
        </w:rPr>
        <w:t xml:space="preserve">w obrębie istniejącego budynku oraz różnorodne roboty wewnętrzne </w:t>
      </w:r>
      <w:r w:rsidR="00742329" w:rsidRPr="00742329">
        <w:rPr>
          <w:rFonts w:ascii="Arial" w:hAnsi="Arial" w:cs="Arial"/>
        </w:rPr>
        <w:t>typu</w:t>
      </w:r>
      <w:r w:rsidR="00742329">
        <w:rPr>
          <w:rFonts w:ascii="Arial" w:hAnsi="Arial" w:cs="Arial"/>
        </w:rPr>
        <w:t xml:space="preserve"> np.</w:t>
      </w:r>
      <w:r w:rsidR="00742329" w:rsidRPr="00742329">
        <w:rPr>
          <w:rFonts w:ascii="Arial" w:hAnsi="Arial" w:cs="Arial"/>
        </w:rPr>
        <w:t xml:space="preserve"> </w:t>
      </w:r>
      <w:r w:rsidR="00742329">
        <w:rPr>
          <w:rFonts w:ascii="Arial" w:hAnsi="Arial" w:cs="Arial"/>
        </w:rPr>
        <w:t xml:space="preserve">roboty </w:t>
      </w:r>
      <w:r w:rsidR="003D3022" w:rsidRPr="00742329">
        <w:rPr>
          <w:rFonts w:ascii="Arial" w:hAnsi="Arial" w:cs="Arial"/>
          <w:shd w:val="clear" w:color="auto" w:fill="FFFFFF"/>
        </w:rPr>
        <w:t>rozbiórkowe, murarskie i tynkarskie, glazura, podłoga, malo</w:t>
      </w:r>
      <w:r w:rsidR="00742329">
        <w:rPr>
          <w:rFonts w:ascii="Arial" w:hAnsi="Arial" w:cs="Arial"/>
          <w:shd w:val="clear" w:color="auto" w:fill="FFFFFF"/>
        </w:rPr>
        <w:t xml:space="preserve">wanie ścian i sufitów, stolarka drzwiowa, wykonanie schodów wejściowych </w:t>
      </w:r>
      <w:r w:rsidR="00093397">
        <w:rPr>
          <w:rFonts w:ascii="Arial" w:hAnsi="Arial" w:cs="Arial"/>
          <w:shd w:val="clear" w:color="auto" w:fill="FFFFFF"/>
        </w:rPr>
        <w:t xml:space="preserve">                  </w:t>
      </w:r>
      <w:r w:rsidR="00742329">
        <w:rPr>
          <w:rFonts w:ascii="Arial" w:hAnsi="Arial" w:cs="Arial"/>
          <w:shd w:val="clear" w:color="auto" w:fill="FFFFFF"/>
        </w:rPr>
        <w:t>i podjazdu dla osób niepełnosprawnych itp</w:t>
      </w:r>
      <w:r w:rsidR="00093397">
        <w:rPr>
          <w:rFonts w:ascii="Arial" w:hAnsi="Arial" w:cs="Arial"/>
          <w:shd w:val="clear" w:color="auto" w:fill="FFFFFF"/>
        </w:rPr>
        <w:t>. – Zadanie A</w:t>
      </w:r>
      <w:r w:rsidR="00742329">
        <w:rPr>
          <w:rFonts w:ascii="Arial" w:hAnsi="Arial" w:cs="Arial"/>
          <w:shd w:val="clear" w:color="auto" w:fill="FFFFFF"/>
        </w:rPr>
        <w:t>.</w:t>
      </w:r>
    </w:p>
    <w:p w:rsidR="002379BD" w:rsidRPr="002379BD" w:rsidRDefault="00093397" w:rsidP="00DE5016">
      <w:pPr>
        <w:numPr>
          <w:ilvl w:val="0"/>
          <w:numId w:val="35"/>
        </w:numPr>
        <w:autoSpaceDE w:val="0"/>
        <w:autoSpaceDN w:val="0"/>
        <w:adjustRightInd w:val="0"/>
        <w:spacing w:after="0" w:line="360" w:lineRule="auto"/>
        <w:jc w:val="both"/>
      </w:pPr>
      <w:r>
        <w:rPr>
          <w:rFonts w:ascii="Arial" w:hAnsi="Arial" w:cs="Arial"/>
          <w:shd w:val="clear" w:color="auto" w:fill="FFFFFF"/>
        </w:rPr>
        <w:t>W</w:t>
      </w:r>
      <w:r w:rsidR="00A125F8">
        <w:rPr>
          <w:rFonts w:ascii="Arial" w:hAnsi="Arial" w:cs="Arial"/>
          <w:shd w:val="clear" w:color="auto" w:fill="FFFFFF"/>
        </w:rPr>
        <w:t xml:space="preserve">yposażenie </w:t>
      </w:r>
      <w:r w:rsidR="005F5595">
        <w:rPr>
          <w:rFonts w:ascii="Arial" w:hAnsi="Arial" w:cs="Arial"/>
          <w:shd w:val="clear" w:color="auto" w:fill="FFFFFF"/>
        </w:rPr>
        <w:t>Klubu „Seniora +” w Kurkach</w:t>
      </w:r>
      <w:r>
        <w:rPr>
          <w:rFonts w:ascii="Arial" w:hAnsi="Arial" w:cs="Arial"/>
          <w:shd w:val="clear" w:color="auto" w:fill="FFFFFF"/>
        </w:rPr>
        <w:t xml:space="preserve"> – Zadanie B</w:t>
      </w:r>
      <w:r w:rsidR="002379BD">
        <w:rPr>
          <w:rFonts w:ascii="Arial" w:hAnsi="Arial" w:cs="Arial"/>
          <w:shd w:val="clear" w:color="auto" w:fill="FFFFFF"/>
        </w:rPr>
        <w:t>.</w:t>
      </w:r>
    </w:p>
    <w:p w:rsidR="003D3022" w:rsidRDefault="00A125F8" w:rsidP="002379BD">
      <w:pPr>
        <w:autoSpaceDE w:val="0"/>
        <w:autoSpaceDN w:val="0"/>
        <w:adjustRightInd w:val="0"/>
        <w:spacing w:after="0"/>
        <w:ind w:left="720"/>
        <w:jc w:val="both"/>
        <w:rPr>
          <w:rFonts w:ascii="Arial" w:hAnsi="Arial" w:cs="Arial"/>
          <w:shd w:val="clear" w:color="auto" w:fill="FFFFFF"/>
        </w:rPr>
      </w:pPr>
      <w:r>
        <w:rPr>
          <w:rFonts w:ascii="Arial" w:hAnsi="Arial" w:cs="Arial"/>
          <w:shd w:val="clear" w:color="auto" w:fill="FFFFFF"/>
        </w:rPr>
        <w:t>.</w:t>
      </w:r>
    </w:p>
    <w:p w:rsidR="00093397" w:rsidRPr="005F5595" w:rsidRDefault="00093397" w:rsidP="005F5595">
      <w:pPr>
        <w:pStyle w:val="Bezodstpw"/>
        <w:spacing w:line="276" w:lineRule="auto"/>
        <w:rPr>
          <w:rFonts w:ascii="Arial" w:hAnsi="Arial" w:cs="Arial"/>
          <w:shd w:val="clear" w:color="auto" w:fill="FFFFFF"/>
        </w:rPr>
      </w:pPr>
      <w:r w:rsidRPr="005F5595">
        <w:rPr>
          <w:rFonts w:ascii="Arial" w:hAnsi="Arial" w:cs="Arial"/>
          <w:shd w:val="clear" w:color="auto" w:fill="FFFFFF"/>
        </w:rPr>
        <w:lastRenderedPageBreak/>
        <w:t xml:space="preserve">Pomieszczenia klubu : </w:t>
      </w:r>
    </w:p>
    <w:p w:rsidR="00984F13" w:rsidRPr="005F5595" w:rsidRDefault="00984F13"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wejście – 5,00 m</w:t>
      </w:r>
      <w:r w:rsidRPr="005F5595">
        <w:rPr>
          <w:rFonts w:ascii="Arial" w:hAnsi="Arial" w:cs="Arial"/>
          <w:shd w:val="clear" w:color="auto" w:fill="FFFFFF"/>
          <w:vertAlign w:val="superscript"/>
        </w:rPr>
        <w:t>2</w:t>
      </w:r>
      <w:r w:rsidRPr="005F5595">
        <w:rPr>
          <w:rFonts w:ascii="Arial" w:hAnsi="Arial" w:cs="Arial"/>
          <w:shd w:val="clear" w:color="auto" w:fill="FFFFFF"/>
        </w:rPr>
        <w:t>,</w:t>
      </w:r>
    </w:p>
    <w:p w:rsidR="00984F13" w:rsidRPr="005F5595" w:rsidRDefault="00984F13"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pomieszczenie ogólnodostępne – 27,72 m</w:t>
      </w:r>
      <w:r w:rsidRPr="005F5595">
        <w:rPr>
          <w:rFonts w:ascii="Arial" w:hAnsi="Arial" w:cs="Arial"/>
          <w:shd w:val="clear" w:color="auto" w:fill="FFFFFF"/>
          <w:vertAlign w:val="superscript"/>
        </w:rPr>
        <w:t xml:space="preserve">2 </w:t>
      </w:r>
      <w:r w:rsidRPr="005F5595">
        <w:rPr>
          <w:rFonts w:ascii="Arial" w:hAnsi="Arial" w:cs="Arial"/>
          <w:shd w:val="clear" w:color="auto" w:fill="FFFFFF"/>
        </w:rPr>
        <w:t>,</w:t>
      </w:r>
    </w:p>
    <w:p w:rsidR="00984F13" w:rsidRPr="005F5595" w:rsidRDefault="00984F13"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aneks kuchenny – 8,51 m</w:t>
      </w:r>
      <w:r w:rsidRPr="005F5595">
        <w:rPr>
          <w:rFonts w:ascii="Arial" w:hAnsi="Arial" w:cs="Arial"/>
          <w:shd w:val="clear" w:color="auto" w:fill="FFFFFF"/>
          <w:vertAlign w:val="superscript"/>
        </w:rPr>
        <w:t>2</w:t>
      </w:r>
      <w:r w:rsidRPr="005F5595">
        <w:rPr>
          <w:rFonts w:ascii="Arial" w:hAnsi="Arial" w:cs="Arial"/>
          <w:shd w:val="clear" w:color="auto" w:fill="FFFFFF"/>
        </w:rPr>
        <w:t>,</w:t>
      </w:r>
    </w:p>
    <w:p w:rsidR="00984F13" w:rsidRPr="005F5595" w:rsidRDefault="00984F13"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pomieszczenie porządkowe – 1,48 m</w:t>
      </w:r>
      <w:r w:rsidRPr="005F5595">
        <w:rPr>
          <w:rFonts w:ascii="Arial" w:hAnsi="Arial" w:cs="Arial"/>
          <w:shd w:val="clear" w:color="auto" w:fill="FFFFFF"/>
          <w:vertAlign w:val="superscript"/>
        </w:rPr>
        <w:t>2</w:t>
      </w:r>
      <w:r w:rsidRPr="005F5595">
        <w:rPr>
          <w:rFonts w:ascii="Arial" w:hAnsi="Arial" w:cs="Arial"/>
          <w:shd w:val="clear" w:color="auto" w:fill="FFFFFF"/>
        </w:rPr>
        <w:t>,</w:t>
      </w:r>
    </w:p>
    <w:p w:rsidR="00984F13" w:rsidRPr="005F5595" w:rsidRDefault="00984F13"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pomieszczenie re</w:t>
      </w:r>
      <w:r w:rsidR="00DE5016" w:rsidRPr="005F5595">
        <w:rPr>
          <w:rFonts w:ascii="Arial" w:hAnsi="Arial" w:cs="Arial"/>
          <w:shd w:val="clear" w:color="auto" w:fill="FFFFFF"/>
        </w:rPr>
        <w:t>kreacyjno – wypoczynkowe – 14,58 m</w:t>
      </w:r>
      <w:r w:rsidR="00DE5016" w:rsidRPr="005F5595">
        <w:rPr>
          <w:rFonts w:ascii="Arial" w:hAnsi="Arial" w:cs="Arial"/>
          <w:shd w:val="clear" w:color="auto" w:fill="FFFFFF"/>
          <w:vertAlign w:val="superscript"/>
        </w:rPr>
        <w:t>2</w:t>
      </w:r>
    </w:p>
    <w:p w:rsidR="00DE5016" w:rsidRPr="005F5595" w:rsidRDefault="00DE5016"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w.c. – 6,33 m</w:t>
      </w:r>
      <w:r w:rsidRPr="005F5595">
        <w:rPr>
          <w:rFonts w:ascii="Arial" w:hAnsi="Arial" w:cs="Arial"/>
          <w:shd w:val="clear" w:color="auto" w:fill="FFFFFF"/>
          <w:vertAlign w:val="superscript"/>
        </w:rPr>
        <w:t>2</w:t>
      </w:r>
      <w:r w:rsidRPr="005F5595">
        <w:rPr>
          <w:rFonts w:ascii="Arial" w:hAnsi="Arial" w:cs="Arial"/>
          <w:shd w:val="clear" w:color="auto" w:fill="FFFFFF"/>
        </w:rPr>
        <w:t>,</w:t>
      </w:r>
    </w:p>
    <w:p w:rsidR="00DE5016" w:rsidRPr="005F5595" w:rsidRDefault="00DE5016"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w.c. – 2,20 m</w:t>
      </w:r>
      <w:r w:rsidRPr="005F5595">
        <w:rPr>
          <w:rFonts w:ascii="Arial" w:hAnsi="Arial" w:cs="Arial"/>
          <w:shd w:val="clear" w:color="auto" w:fill="FFFFFF"/>
          <w:vertAlign w:val="superscript"/>
        </w:rPr>
        <w:t>2</w:t>
      </w:r>
      <w:r w:rsidRPr="005F5595">
        <w:rPr>
          <w:rFonts w:ascii="Arial" w:hAnsi="Arial" w:cs="Arial"/>
          <w:shd w:val="clear" w:color="auto" w:fill="FFFFFF"/>
        </w:rPr>
        <w:t>,</w:t>
      </w:r>
    </w:p>
    <w:p w:rsidR="00DE5016" w:rsidRPr="005F5595" w:rsidRDefault="00DE5016" w:rsidP="005F5595">
      <w:pPr>
        <w:pStyle w:val="Bezodstpw"/>
        <w:spacing w:line="276" w:lineRule="auto"/>
        <w:rPr>
          <w:rFonts w:ascii="Arial" w:hAnsi="Arial" w:cs="Arial"/>
          <w:shd w:val="clear" w:color="auto" w:fill="FFFFFF"/>
        </w:rPr>
      </w:pPr>
      <w:r w:rsidRPr="005F5595">
        <w:rPr>
          <w:rFonts w:ascii="Arial" w:hAnsi="Arial" w:cs="Arial"/>
          <w:shd w:val="clear" w:color="auto" w:fill="FFFFFF"/>
        </w:rPr>
        <w:t>- w.c.</w:t>
      </w:r>
      <w:r w:rsidR="00B961FA" w:rsidRPr="005F5595">
        <w:rPr>
          <w:rFonts w:ascii="Arial" w:hAnsi="Arial" w:cs="Arial"/>
          <w:shd w:val="clear" w:color="auto" w:fill="FFFFFF"/>
        </w:rPr>
        <w:t xml:space="preserve"> </w:t>
      </w:r>
      <w:r w:rsidRPr="005F5595">
        <w:rPr>
          <w:rFonts w:ascii="Arial" w:hAnsi="Arial" w:cs="Arial"/>
          <w:shd w:val="clear" w:color="auto" w:fill="FFFFFF"/>
        </w:rPr>
        <w:t>- 2,20 m</w:t>
      </w:r>
      <w:r w:rsidRPr="005F5595">
        <w:rPr>
          <w:rFonts w:ascii="Arial" w:hAnsi="Arial" w:cs="Arial"/>
          <w:shd w:val="clear" w:color="auto" w:fill="FFFFFF"/>
          <w:vertAlign w:val="superscript"/>
        </w:rPr>
        <w:t>2</w:t>
      </w:r>
      <w:r w:rsidRPr="005F5595">
        <w:rPr>
          <w:rFonts w:ascii="Arial" w:hAnsi="Arial" w:cs="Arial"/>
          <w:shd w:val="clear" w:color="auto" w:fill="FFFFFF"/>
        </w:rPr>
        <w:t>.</w:t>
      </w:r>
    </w:p>
    <w:p w:rsidR="00093397" w:rsidRDefault="00093397" w:rsidP="00DE5016">
      <w:pPr>
        <w:spacing w:line="240" w:lineRule="auto"/>
        <w:jc w:val="both"/>
      </w:pPr>
      <w:r>
        <w:rPr>
          <w:rFonts w:ascii="Arial" w:hAnsi="Arial" w:cs="Arial"/>
          <w:shd w:val="clear" w:color="auto" w:fill="FFFFFF"/>
        </w:rPr>
        <w:t xml:space="preserve">Budynek zostanie dostosowany do potrzeb osób niepełnosprawnych poprzez </w:t>
      </w:r>
      <w:r w:rsidR="00DE5016">
        <w:rPr>
          <w:rFonts w:ascii="Arial" w:hAnsi="Arial" w:cs="Arial"/>
          <w:shd w:val="clear" w:color="auto" w:fill="FFFFFF"/>
        </w:rPr>
        <w:t xml:space="preserve">wykonanie schodów wejściowych  i podjazdu dla osób niepełnosprawnych. </w:t>
      </w:r>
    </w:p>
    <w:p w:rsidR="00E76AE5" w:rsidRPr="003D22BB" w:rsidRDefault="00060AE7">
      <w:pPr>
        <w:pStyle w:val="justify"/>
        <w:rPr>
          <w:rFonts w:ascii="Arial" w:hAnsi="Arial" w:cs="Arial"/>
          <w:i/>
          <w:u w:val="single"/>
        </w:rPr>
      </w:pPr>
      <w:r w:rsidRPr="003D22BB">
        <w:rPr>
          <w:rFonts w:ascii="Arial" w:hAnsi="Arial" w:cs="Arial"/>
          <w:i/>
          <w:u w:val="single"/>
        </w:rPr>
        <w:t>Szczegółowy opis przedmiotu zamówienia zawierają: dokumentacje projektowe, specyfikacje techniczne wykonania i odbioru robót budowlanych oraz przedmiar robót stanowiące załączniki do SWZ.</w:t>
      </w:r>
    </w:p>
    <w:p w:rsidR="00B961FA" w:rsidRPr="003D22BB" w:rsidRDefault="00B961FA">
      <w:pPr>
        <w:pStyle w:val="justify"/>
        <w:rPr>
          <w:rFonts w:ascii="Arial" w:hAnsi="Arial" w:cs="Arial"/>
          <w:i/>
          <w:u w:val="single"/>
        </w:rPr>
      </w:pPr>
      <w:r w:rsidRPr="003D22BB">
        <w:rPr>
          <w:rFonts w:ascii="Arial" w:hAnsi="Arial" w:cs="Arial"/>
          <w:i/>
          <w:u w:val="single"/>
        </w:rPr>
        <w:t xml:space="preserve">Natomiast szczegółowy opis </w:t>
      </w:r>
      <w:r w:rsidR="003D375D" w:rsidRPr="003D22BB">
        <w:rPr>
          <w:rFonts w:ascii="Arial" w:hAnsi="Arial" w:cs="Arial"/>
          <w:i/>
          <w:u w:val="single"/>
        </w:rPr>
        <w:t xml:space="preserve">wyposażenia </w:t>
      </w:r>
      <w:r w:rsidR="005F5595">
        <w:rPr>
          <w:rFonts w:ascii="Arial" w:hAnsi="Arial" w:cs="Arial"/>
          <w:i/>
          <w:u w:val="single"/>
        </w:rPr>
        <w:t>Klubu Seniora +</w:t>
      </w:r>
      <w:r w:rsidR="00D7626E" w:rsidRPr="003D22BB">
        <w:rPr>
          <w:rFonts w:ascii="Arial" w:hAnsi="Arial" w:cs="Arial"/>
          <w:i/>
          <w:u w:val="single"/>
        </w:rPr>
        <w:t xml:space="preserve"> </w:t>
      </w:r>
      <w:r w:rsidR="005F5595">
        <w:rPr>
          <w:rFonts w:ascii="Arial" w:hAnsi="Arial" w:cs="Arial"/>
          <w:i/>
          <w:u w:val="single"/>
        </w:rPr>
        <w:t xml:space="preserve"> w Kurkach </w:t>
      </w:r>
      <w:r w:rsidR="00D7626E" w:rsidRPr="003D22BB">
        <w:rPr>
          <w:rFonts w:ascii="Arial" w:hAnsi="Arial" w:cs="Arial"/>
          <w:i/>
          <w:u w:val="single"/>
        </w:rPr>
        <w:t xml:space="preserve">zawiera Załącznik </w:t>
      </w:r>
      <w:r w:rsidR="00786FAE">
        <w:rPr>
          <w:rFonts w:ascii="Arial" w:hAnsi="Arial" w:cs="Arial"/>
          <w:i/>
          <w:u w:val="single"/>
        </w:rPr>
        <w:t xml:space="preserve">                 nr 8 </w:t>
      </w:r>
      <w:r w:rsidR="00D7626E" w:rsidRPr="003D22BB">
        <w:rPr>
          <w:rFonts w:ascii="Arial" w:hAnsi="Arial" w:cs="Arial"/>
          <w:i/>
          <w:u w:val="single"/>
        </w:rPr>
        <w:t>do SWZ.</w:t>
      </w:r>
      <w:r w:rsidRPr="003D22BB">
        <w:rPr>
          <w:rFonts w:ascii="Arial" w:hAnsi="Arial" w:cs="Arial"/>
          <w:i/>
          <w:u w:val="single"/>
        </w:rPr>
        <w:t xml:space="preserve"> </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E76AE5" w:rsidRDefault="00060AE7">
      <w:pPr>
        <w:pStyle w:val="justify"/>
        <w:rPr>
          <w:rFonts w:ascii="Arial" w:hAnsi="Arial" w:cs="Arial"/>
        </w:rPr>
      </w:pPr>
      <w:r w:rsidRPr="00D0421D">
        <w:rPr>
          <w:rFonts w:ascii="Arial" w:hAnsi="Arial" w:cs="Arial"/>
        </w:rPr>
        <w:t>Oznaczenie według Wspólnego Słownika Zamówień:</w:t>
      </w:r>
    </w:p>
    <w:p w:rsidR="00C178EB" w:rsidRDefault="00C178EB">
      <w:pPr>
        <w:pStyle w:val="justify"/>
        <w:rPr>
          <w:rFonts w:ascii="Arial" w:hAnsi="Arial" w:cs="Arial"/>
        </w:rPr>
      </w:pPr>
    </w:p>
    <w:p w:rsidR="00C178EB" w:rsidRDefault="00C178EB">
      <w:pPr>
        <w:pStyle w:val="justify"/>
        <w:rPr>
          <w:rFonts w:ascii="Arial" w:hAnsi="Arial" w:cs="Arial"/>
        </w:rPr>
      </w:pP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lastRenderedPageBreak/>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14634B">
        <w:trPr>
          <w:trHeight w:val="1544"/>
        </w:trPr>
        <w:tc>
          <w:tcPr>
            <w:tcW w:w="2578" w:type="dxa"/>
            <w:shd w:val="clear" w:color="auto" w:fill="auto"/>
            <w:vAlign w:val="center"/>
          </w:tcPr>
          <w:p w:rsidR="0014634B" w:rsidRPr="0014634B" w:rsidRDefault="0014634B" w:rsidP="0014634B">
            <w:pPr>
              <w:pStyle w:val="Bezodstpw"/>
              <w:spacing w:line="276" w:lineRule="auto"/>
              <w:jc w:val="center"/>
              <w:rPr>
                <w:rFonts w:ascii="Arial" w:hAnsi="Arial" w:cs="Arial"/>
                <w:b/>
                <w:sz w:val="20"/>
                <w:szCs w:val="20"/>
              </w:rPr>
            </w:pPr>
            <w:r w:rsidRPr="0014634B">
              <w:rPr>
                <w:rFonts w:ascii="Arial" w:hAnsi="Arial" w:cs="Arial"/>
                <w:b/>
                <w:sz w:val="20"/>
                <w:szCs w:val="20"/>
              </w:rPr>
              <w:t>45000000-7</w:t>
            </w:r>
          </w:p>
          <w:p w:rsidR="0014634B" w:rsidRPr="0014634B" w:rsidRDefault="0014634B" w:rsidP="0014634B">
            <w:pPr>
              <w:pStyle w:val="Bezodstpw"/>
              <w:spacing w:line="276" w:lineRule="auto"/>
              <w:jc w:val="center"/>
              <w:rPr>
                <w:rFonts w:ascii="Arial" w:hAnsi="Arial" w:cs="Arial"/>
                <w:b/>
                <w:sz w:val="20"/>
                <w:szCs w:val="20"/>
              </w:rPr>
            </w:pPr>
            <w:r w:rsidRPr="0014634B">
              <w:rPr>
                <w:rFonts w:ascii="Arial" w:hAnsi="Arial" w:cs="Arial"/>
                <w:b/>
                <w:sz w:val="20"/>
                <w:szCs w:val="20"/>
              </w:rPr>
              <w:t>45300000-0</w:t>
            </w:r>
          </w:p>
          <w:p w:rsidR="0014634B" w:rsidRPr="0014634B" w:rsidRDefault="0014634B" w:rsidP="0014634B">
            <w:pPr>
              <w:pStyle w:val="Bezodstpw"/>
              <w:spacing w:line="276" w:lineRule="auto"/>
              <w:jc w:val="center"/>
              <w:rPr>
                <w:rFonts w:ascii="Arial" w:hAnsi="Arial" w:cs="Arial"/>
                <w:b/>
                <w:sz w:val="20"/>
                <w:szCs w:val="20"/>
              </w:rPr>
            </w:pPr>
            <w:r w:rsidRPr="0014634B">
              <w:rPr>
                <w:rFonts w:ascii="Arial" w:hAnsi="Arial" w:cs="Arial"/>
                <w:b/>
                <w:sz w:val="20"/>
                <w:szCs w:val="20"/>
              </w:rPr>
              <w:t>45310000-3</w:t>
            </w:r>
          </w:p>
          <w:p w:rsidR="0014634B" w:rsidRPr="0014634B" w:rsidRDefault="0014634B" w:rsidP="0014634B">
            <w:pPr>
              <w:pStyle w:val="Bezodstpw"/>
              <w:spacing w:line="276" w:lineRule="auto"/>
              <w:jc w:val="center"/>
              <w:rPr>
                <w:rFonts w:ascii="Arial" w:hAnsi="Arial" w:cs="Arial"/>
                <w:b/>
                <w:sz w:val="20"/>
                <w:szCs w:val="20"/>
              </w:rPr>
            </w:pPr>
            <w:r w:rsidRPr="0014634B">
              <w:rPr>
                <w:rFonts w:ascii="Arial" w:hAnsi="Arial" w:cs="Arial"/>
                <w:b/>
                <w:sz w:val="20"/>
                <w:szCs w:val="20"/>
              </w:rPr>
              <w:t>45330000-9</w:t>
            </w:r>
          </w:p>
          <w:p w:rsidR="00E76AE5" w:rsidRPr="0014634B" w:rsidRDefault="0014634B" w:rsidP="0014634B">
            <w:pPr>
              <w:pStyle w:val="Bezodstpw"/>
              <w:spacing w:line="276" w:lineRule="auto"/>
              <w:jc w:val="center"/>
              <w:rPr>
                <w:rFonts w:ascii="Arial" w:hAnsi="Arial" w:cs="Arial"/>
                <w:sz w:val="20"/>
                <w:szCs w:val="20"/>
                <w:highlight w:val="yellow"/>
              </w:rPr>
            </w:pPr>
            <w:r w:rsidRPr="0014634B">
              <w:rPr>
                <w:rFonts w:ascii="Arial" w:hAnsi="Arial" w:cs="Arial"/>
                <w:b/>
                <w:sz w:val="20"/>
                <w:szCs w:val="20"/>
              </w:rPr>
              <w:t>45400000-1</w:t>
            </w:r>
          </w:p>
        </w:tc>
        <w:tc>
          <w:tcPr>
            <w:tcW w:w="6612" w:type="dxa"/>
            <w:shd w:val="clear" w:color="auto" w:fill="auto"/>
            <w:vAlign w:val="center"/>
          </w:tcPr>
          <w:p w:rsidR="0014634B" w:rsidRPr="0014634B" w:rsidRDefault="0014634B" w:rsidP="0014634B">
            <w:pPr>
              <w:pStyle w:val="Bezodstpw"/>
              <w:spacing w:line="276" w:lineRule="auto"/>
              <w:rPr>
                <w:rFonts w:ascii="Arial" w:hAnsi="Arial" w:cs="Arial"/>
                <w:sz w:val="20"/>
                <w:szCs w:val="20"/>
              </w:rPr>
            </w:pPr>
            <w:r w:rsidRPr="0014634B">
              <w:rPr>
                <w:rFonts w:ascii="Arial" w:hAnsi="Arial" w:cs="Arial"/>
                <w:sz w:val="20"/>
                <w:szCs w:val="20"/>
              </w:rPr>
              <w:t>Roboty budowlane</w:t>
            </w:r>
          </w:p>
          <w:p w:rsidR="0014634B" w:rsidRPr="0014634B" w:rsidRDefault="0014634B" w:rsidP="0014634B">
            <w:pPr>
              <w:pStyle w:val="Bezodstpw"/>
              <w:spacing w:line="276" w:lineRule="auto"/>
              <w:rPr>
                <w:rFonts w:ascii="Arial" w:hAnsi="Arial" w:cs="Arial"/>
                <w:sz w:val="20"/>
                <w:szCs w:val="20"/>
              </w:rPr>
            </w:pPr>
            <w:r w:rsidRPr="0014634B">
              <w:rPr>
                <w:rFonts w:ascii="Arial" w:hAnsi="Arial" w:cs="Arial"/>
                <w:sz w:val="20"/>
                <w:szCs w:val="20"/>
              </w:rPr>
              <w:t>Roboty instalacyjne w budynkach</w:t>
            </w:r>
          </w:p>
          <w:p w:rsidR="0014634B" w:rsidRPr="0014634B" w:rsidRDefault="0014634B" w:rsidP="0014634B">
            <w:pPr>
              <w:pStyle w:val="Bezodstpw"/>
              <w:spacing w:line="276" w:lineRule="auto"/>
              <w:rPr>
                <w:rFonts w:ascii="Arial" w:hAnsi="Arial" w:cs="Arial"/>
                <w:sz w:val="20"/>
                <w:szCs w:val="20"/>
              </w:rPr>
            </w:pPr>
            <w:r w:rsidRPr="0014634B">
              <w:rPr>
                <w:rFonts w:ascii="Arial" w:hAnsi="Arial" w:cs="Arial"/>
                <w:sz w:val="20"/>
                <w:szCs w:val="20"/>
              </w:rPr>
              <w:t>Roboty instalacyjne elektryczne</w:t>
            </w:r>
          </w:p>
          <w:p w:rsidR="0014634B" w:rsidRPr="0014634B" w:rsidRDefault="0014634B" w:rsidP="0014634B">
            <w:pPr>
              <w:pStyle w:val="Bezodstpw"/>
              <w:spacing w:line="276" w:lineRule="auto"/>
              <w:rPr>
                <w:rFonts w:ascii="Arial" w:hAnsi="Arial" w:cs="Arial"/>
                <w:sz w:val="20"/>
                <w:szCs w:val="20"/>
              </w:rPr>
            </w:pPr>
            <w:r w:rsidRPr="0014634B">
              <w:rPr>
                <w:rFonts w:ascii="Arial" w:hAnsi="Arial" w:cs="Arial"/>
                <w:sz w:val="20"/>
                <w:szCs w:val="20"/>
              </w:rPr>
              <w:t>Roboty instalacyjne wodno-kanalizacyjne i sanitarne</w:t>
            </w:r>
          </w:p>
          <w:p w:rsidR="0014634B" w:rsidRPr="001E6490" w:rsidRDefault="0014634B" w:rsidP="0014634B">
            <w:pPr>
              <w:pStyle w:val="Bezodstpw"/>
              <w:spacing w:line="276" w:lineRule="auto"/>
              <w:rPr>
                <w:rFonts w:ascii="Arial" w:hAnsi="Arial" w:cs="Arial"/>
              </w:rPr>
            </w:pPr>
            <w:r w:rsidRPr="0014634B">
              <w:rPr>
                <w:rFonts w:ascii="Arial" w:hAnsi="Arial" w:cs="Arial"/>
                <w:sz w:val="20"/>
                <w:szCs w:val="20"/>
              </w:rPr>
              <w:t>Roboty wykończeniowe w zakresie obiektów budowlanych</w:t>
            </w:r>
          </w:p>
        </w:tc>
      </w:tr>
    </w:tbl>
    <w:p w:rsidR="004C6F7E" w:rsidRDefault="004C6F7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00903A76">
        <w:rPr>
          <w:rFonts w:ascii="Arial" w:hAnsi="Arial" w:cs="Arial"/>
        </w:rPr>
        <w:t xml:space="preserve">: </w:t>
      </w:r>
      <w:r w:rsidR="00903A76" w:rsidRPr="00903A76">
        <w:rPr>
          <w:rFonts w:ascii="Arial" w:hAnsi="Arial" w:cs="Arial"/>
          <w:b/>
        </w:rPr>
        <w:t xml:space="preserve">do </w:t>
      </w:r>
      <w:r w:rsidRPr="00903A76">
        <w:rPr>
          <w:rFonts w:ascii="Arial" w:hAnsi="Arial" w:cs="Arial"/>
          <w:b/>
        </w:rPr>
        <w:t xml:space="preserve"> </w:t>
      </w:r>
      <w:r w:rsidR="005531E7">
        <w:rPr>
          <w:rFonts w:ascii="Arial" w:hAnsi="Arial" w:cs="Arial"/>
          <w:b/>
        </w:rPr>
        <w:t>3</w:t>
      </w:r>
      <w:r w:rsidR="004A575A" w:rsidRPr="00903A76">
        <w:rPr>
          <w:rFonts w:ascii="Arial" w:hAnsi="Arial" w:cs="Arial"/>
          <w:b/>
        </w:rPr>
        <w:t xml:space="preserve"> miesi</w:t>
      </w:r>
      <w:r w:rsidR="00903A76" w:rsidRPr="00903A76">
        <w:rPr>
          <w:rFonts w:ascii="Arial" w:hAnsi="Arial" w:cs="Arial"/>
          <w:b/>
        </w:rPr>
        <w:t>ę</w:t>
      </w:r>
      <w:r w:rsidR="004A575A" w:rsidRPr="00903A76">
        <w:rPr>
          <w:rFonts w:ascii="Arial" w:hAnsi="Arial" w:cs="Arial"/>
          <w:b/>
        </w:rPr>
        <w:t>c</w:t>
      </w:r>
      <w:r w:rsidR="00903A76" w:rsidRPr="00903A76">
        <w:rPr>
          <w:rFonts w:ascii="Arial" w:hAnsi="Arial" w:cs="Arial"/>
          <w:b/>
        </w:rPr>
        <w:t>y</w:t>
      </w:r>
      <w:r w:rsidR="00D0421D" w:rsidRPr="00903A76">
        <w:rPr>
          <w:rFonts w:ascii="Arial" w:hAnsi="Arial" w:cs="Arial"/>
        </w:rPr>
        <w:t xml:space="preserve"> </w:t>
      </w:r>
      <w:r w:rsidR="00EA522D" w:rsidRPr="00903A76">
        <w:rPr>
          <w:rStyle w:val="bold"/>
          <w:rFonts w:ascii="Arial" w:hAnsi="Arial" w:cs="Arial"/>
        </w:rPr>
        <w:t xml:space="preserve">od dnia </w:t>
      </w:r>
      <w:r w:rsidR="00DE1DA7" w:rsidRPr="00903A76">
        <w:rPr>
          <w:rStyle w:val="bold"/>
          <w:rFonts w:ascii="Arial" w:hAnsi="Arial" w:cs="Arial"/>
        </w:rPr>
        <w:t>udzielenia zamówienia</w:t>
      </w:r>
      <w:r w:rsidR="00DE1DA7" w:rsidRPr="00D0421D">
        <w:rPr>
          <w:rStyle w:val="bold"/>
          <w:rFonts w:ascii="Arial" w:hAnsi="Arial" w:cs="Arial"/>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lastRenderedPageBreak/>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6D0282">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Default="006D0282" w:rsidP="000D0366">
      <w:pPr>
        <w:pStyle w:val="p"/>
        <w:jc w:val="both"/>
        <w:rPr>
          <w:rFonts w:ascii="Arial" w:hAnsi="Arial" w:cs="Arial"/>
        </w:rPr>
      </w:pPr>
    </w:p>
    <w:p w:rsidR="00D5257F" w:rsidRDefault="00D5257F" w:rsidP="000D0366">
      <w:pPr>
        <w:pStyle w:val="p"/>
        <w:jc w:val="both"/>
        <w:rPr>
          <w:rFonts w:ascii="Arial" w:hAnsi="Arial" w:cs="Arial"/>
        </w:rPr>
      </w:pPr>
    </w:p>
    <w:p w:rsidR="00C178EB" w:rsidRDefault="00C178EB" w:rsidP="000D0366">
      <w:pPr>
        <w:pStyle w:val="p"/>
        <w:jc w:val="both"/>
        <w:rPr>
          <w:rFonts w:ascii="Arial" w:hAnsi="Arial" w:cs="Arial"/>
        </w:rPr>
      </w:pPr>
    </w:p>
    <w:p w:rsidR="00C178EB" w:rsidRPr="006D0282" w:rsidRDefault="00C178EB"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lastRenderedPageBreak/>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C178EB" w:rsidRPr="00F63488">
        <w:rPr>
          <w:rFonts w:ascii="Arial" w:hAnsi="Arial" w:cs="Arial"/>
        </w:rPr>
        <w:t>28</w:t>
      </w:r>
      <w:r w:rsidR="0040435D" w:rsidRPr="00F63488">
        <w:rPr>
          <w:rFonts w:ascii="Arial" w:hAnsi="Arial" w:cs="Arial"/>
        </w:rPr>
        <w:t>.0</w:t>
      </w:r>
      <w:r w:rsidR="005531E7" w:rsidRPr="00F63488">
        <w:rPr>
          <w:rFonts w:ascii="Arial" w:hAnsi="Arial" w:cs="Arial"/>
        </w:rPr>
        <w:t>9</w:t>
      </w:r>
      <w:r w:rsidRPr="00F63488">
        <w:rPr>
          <w:rFonts w:ascii="Arial" w:hAnsi="Arial" w:cs="Arial"/>
        </w:rPr>
        <w:t>.2021</w:t>
      </w:r>
      <w:r w:rsidRPr="00182AA7">
        <w:rPr>
          <w:rFonts w:ascii="Arial" w:hAnsi="Arial" w:cs="Arial"/>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w:t>
      </w:r>
      <w:r w:rsidR="0012552E">
        <w:rPr>
          <w:rFonts w:ascii="Arial" w:hAnsi="Arial" w:cs="Arial"/>
        </w:rPr>
        <w:lastRenderedPageBreak/>
        <w:t>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F63488"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C178EB" w:rsidRPr="00F63488">
        <w:rPr>
          <w:rFonts w:ascii="Arial" w:eastAsia="Calibri" w:hAnsi="Arial" w:cs="Arial"/>
          <w:b/>
          <w:lang w:eastAsia="en-US"/>
        </w:rPr>
        <w:t>30</w:t>
      </w:r>
      <w:r w:rsidRPr="00F63488">
        <w:rPr>
          <w:rFonts w:ascii="Arial" w:eastAsia="Calibri" w:hAnsi="Arial" w:cs="Arial"/>
          <w:b/>
          <w:lang w:eastAsia="en-US"/>
        </w:rPr>
        <w:t>.0</w:t>
      </w:r>
      <w:r w:rsidR="00C178EB" w:rsidRPr="00F63488">
        <w:rPr>
          <w:rFonts w:ascii="Arial" w:eastAsia="Calibri" w:hAnsi="Arial" w:cs="Arial"/>
          <w:b/>
          <w:lang w:eastAsia="en-US"/>
        </w:rPr>
        <w:t>8</w:t>
      </w:r>
      <w:r w:rsidRPr="00F63488">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6D0282" w:rsidRDefault="00091892" w:rsidP="00091892">
      <w:pPr>
        <w:spacing w:after="0"/>
        <w:ind w:left="1134"/>
        <w:contextualSpacing/>
        <w:jc w:val="both"/>
        <w:rPr>
          <w:rFonts w:ascii="Arial" w:eastAsia="Calibri" w:hAnsi="Arial" w:cs="Arial"/>
          <w:lang w:eastAsia="en-US"/>
        </w:rPr>
      </w:pP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F63488"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C178EB" w:rsidRPr="00F63488">
        <w:rPr>
          <w:rFonts w:ascii="Arial" w:hAnsi="Arial" w:cs="Arial"/>
          <w:b/>
        </w:rPr>
        <w:t>30</w:t>
      </w:r>
      <w:r w:rsidRPr="00F63488">
        <w:rPr>
          <w:rFonts w:ascii="Arial" w:hAnsi="Arial" w:cs="Arial"/>
          <w:b/>
        </w:rPr>
        <w:t>.0</w:t>
      </w:r>
      <w:r w:rsidR="00C178EB" w:rsidRPr="00F63488">
        <w:rPr>
          <w:rFonts w:ascii="Arial" w:hAnsi="Arial" w:cs="Arial"/>
          <w:b/>
        </w:rPr>
        <w:t>8</w:t>
      </w:r>
      <w:r w:rsidR="0040435D" w:rsidRPr="00F63488">
        <w:rPr>
          <w:rFonts w:ascii="Arial" w:hAnsi="Arial" w:cs="Arial"/>
          <w:b/>
        </w:rPr>
        <w:t>.2021r. o</w:t>
      </w:r>
      <w:r w:rsidRPr="00F63488">
        <w:rPr>
          <w:rFonts w:ascii="Arial" w:hAnsi="Arial" w:cs="Arial"/>
          <w:b/>
        </w:rPr>
        <w:t xml:space="preserve"> godz. 11:3</w:t>
      </w:r>
      <w:r w:rsidR="0040435D" w:rsidRPr="00F63488">
        <w:rPr>
          <w:rFonts w:ascii="Arial" w:hAnsi="Arial" w:cs="Arial"/>
          <w:b/>
        </w:rPr>
        <w:t>0</w:t>
      </w:r>
      <w:r w:rsidR="0040435D" w:rsidRPr="00F63488">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lastRenderedPageBreak/>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lastRenderedPageBreak/>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Pr="00A41610" w:rsidRDefault="00316B0E"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E10011" w:rsidRPr="00A41610" w:rsidRDefault="00E10011">
      <w:pPr>
        <w:pStyle w:val="p"/>
        <w:rPr>
          <w:rFonts w:ascii="Arial" w:hAnsi="Arial" w:cs="Arial"/>
          <w:b/>
        </w:rPr>
      </w:pP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Pr="00474DE9" w:rsidRDefault="00E10011" w:rsidP="00E10011">
      <w:pPr>
        <w:spacing w:after="0" w:line="360" w:lineRule="auto"/>
        <w:ind w:left="1134"/>
        <w:contextualSpacing/>
        <w:jc w:val="both"/>
        <w:rPr>
          <w:rFonts w:ascii="Arial" w:eastAsia="Calibri" w:hAnsi="Arial" w:cs="Arial"/>
          <w:lang w:eastAsia="en-US"/>
        </w:rPr>
      </w:pPr>
    </w:p>
    <w:p w:rsidR="00786FAE" w:rsidRDefault="00786FAE"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lastRenderedPageBreak/>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lastRenderedPageBreak/>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F63488">
        <w:rPr>
          <w:rFonts w:ascii="Arial" w:hAnsi="Arial" w:cs="Arial"/>
        </w:rPr>
        <w:t>17</w:t>
      </w:r>
      <w:r w:rsidR="005C1E73" w:rsidRPr="00F63488">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lastRenderedPageBreak/>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Pr="00404B2B" w:rsidRDefault="00E76AE5">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3D22BB" w:rsidRPr="003D22BB" w:rsidRDefault="00B5319C" w:rsidP="003D22BB">
      <w:pPr>
        <w:numPr>
          <w:ilvl w:val="0"/>
          <w:numId w:val="36"/>
        </w:numPr>
        <w:spacing w:after="0" w:line="240" w:lineRule="auto"/>
        <w:ind w:left="567" w:hanging="283"/>
        <w:jc w:val="both"/>
        <w:rPr>
          <w:rFonts w:ascii="Arial" w:hAnsi="Arial" w:cs="Arial"/>
        </w:rPr>
      </w:pPr>
      <w:r w:rsidRPr="003D22BB">
        <w:rPr>
          <w:rFonts w:ascii="Arial" w:hAnsi="Arial" w:cs="Arial"/>
        </w:rPr>
        <w:t>Wykonawca posiada doświadczenie, tj. w okresie ostatnich 5 lat przed upływem terminu składania ofert, a jeżeli okres prowadzenia działalności jest krótszy - w tym okresie, w</w:t>
      </w:r>
      <w:r w:rsidR="00BF0B55">
        <w:rPr>
          <w:rFonts w:ascii="Arial" w:hAnsi="Arial" w:cs="Arial"/>
        </w:rPr>
        <w:t xml:space="preserve">ykonał co najmniej jedną </w:t>
      </w:r>
      <w:r w:rsidR="003D22BB" w:rsidRPr="003D22BB">
        <w:rPr>
          <w:rFonts w:ascii="Arial" w:hAnsi="Arial" w:cs="Arial"/>
        </w:rPr>
        <w:t>rob</w:t>
      </w:r>
      <w:r w:rsidR="003D22BB">
        <w:rPr>
          <w:rFonts w:ascii="Arial" w:hAnsi="Arial" w:cs="Arial"/>
        </w:rPr>
        <w:t>ot</w:t>
      </w:r>
      <w:r w:rsidR="00BF0B55">
        <w:rPr>
          <w:rFonts w:ascii="Arial" w:hAnsi="Arial" w:cs="Arial"/>
        </w:rPr>
        <w:t xml:space="preserve">ę </w:t>
      </w:r>
      <w:r w:rsidR="003D22BB" w:rsidRPr="003D22BB">
        <w:rPr>
          <w:rFonts w:ascii="Arial" w:hAnsi="Arial" w:cs="Arial"/>
        </w:rPr>
        <w:t>budowlan</w:t>
      </w:r>
      <w:r w:rsidR="00BF0B55">
        <w:rPr>
          <w:rFonts w:ascii="Arial" w:hAnsi="Arial" w:cs="Arial"/>
        </w:rPr>
        <w:t>ą</w:t>
      </w:r>
      <w:r w:rsidR="003D22BB">
        <w:rPr>
          <w:rFonts w:ascii="Arial" w:hAnsi="Arial" w:cs="Arial"/>
        </w:rPr>
        <w:t xml:space="preserve"> </w:t>
      </w:r>
      <w:r w:rsidR="003D22BB" w:rsidRPr="003D22BB">
        <w:rPr>
          <w:rFonts w:ascii="Arial" w:hAnsi="Arial" w:cs="Arial"/>
        </w:rPr>
        <w:t>polegając</w:t>
      </w:r>
      <w:r w:rsidR="00BF0B55">
        <w:rPr>
          <w:rFonts w:ascii="Arial" w:hAnsi="Arial" w:cs="Arial"/>
        </w:rPr>
        <w:t>ą</w:t>
      </w:r>
      <w:r w:rsidR="003D22BB">
        <w:rPr>
          <w:rFonts w:ascii="Arial" w:hAnsi="Arial" w:cs="Arial"/>
        </w:rPr>
        <w:t xml:space="preserve"> </w:t>
      </w:r>
      <w:r w:rsidR="003D22BB" w:rsidRPr="003D22BB">
        <w:rPr>
          <w:rFonts w:ascii="Arial" w:hAnsi="Arial" w:cs="Arial"/>
        </w:rPr>
        <w:t>na budowie, przebudowie, rozbudowie lub remoncie budynk</w:t>
      </w:r>
      <w:r w:rsidR="00BF0B55">
        <w:rPr>
          <w:rFonts w:ascii="Arial" w:hAnsi="Arial" w:cs="Arial"/>
        </w:rPr>
        <w:t xml:space="preserve">u </w:t>
      </w:r>
      <w:r w:rsidR="003D22BB" w:rsidRPr="003D22BB">
        <w:rPr>
          <w:rFonts w:ascii="Arial" w:hAnsi="Arial" w:cs="Arial"/>
        </w:rPr>
        <w:t>użyteczności publicznej</w:t>
      </w:r>
      <w:r w:rsidR="00BF0B55">
        <w:rPr>
          <w:rFonts w:ascii="Arial" w:hAnsi="Arial" w:cs="Arial"/>
        </w:rPr>
        <w:t xml:space="preserve"> </w:t>
      </w:r>
      <w:r w:rsidR="003D22BB" w:rsidRPr="003D22BB">
        <w:rPr>
          <w:rFonts w:ascii="Arial" w:hAnsi="Arial" w:cs="Arial"/>
        </w:rPr>
        <w:t xml:space="preserve">o wartości, </w:t>
      </w:r>
      <w:r w:rsidR="00BF0B55">
        <w:rPr>
          <w:rFonts w:ascii="Arial" w:hAnsi="Arial" w:cs="Arial"/>
        </w:rPr>
        <w:t xml:space="preserve">     </w:t>
      </w:r>
      <w:r w:rsidR="003D22BB" w:rsidRPr="003D22BB">
        <w:rPr>
          <w:rFonts w:ascii="Arial" w:hAnsi="Arial" w:cs="Arial"/>
        </w:rPr>
        <w:t>co najmniej 100</w:t>
      </w:r>
      <w:r w:rsidR="00BF0B55">
        <w:rPr>
          <w:rFonts w:ascii="Arial" w:hAnsi="Arial" w:cs="Arial"/>
        </w:rPr>
        <w:t> </w:t>
      </w:r>
      <w:r w:rsidR="003D22BB" w:rsidRPr="003D22BB">
        <w:rPr>
          <w:rFonts w:ascii="Arial" w:hAnsi="Arial" w:cs="Arial"/>
        </w:rPr>
        <w:t>000</w:t>
      </w:r>
      <w:r w:rsidR="00BF0B55">
        <w:rPr>
          <w:rFonts w:ascii="Arial" w:hAnsi="Arial" w:cs="Arial"/>
        </w:rPr>
        <w:t>,00</w:t>
      </w:r>
      <w:r w:rsidR="003D22BB" w:rsidRPr="003D22BB">
        <w:rPr>
          <w:rFonts w:ascii="Arial" w:hAnsi="Arial" w:cs="Arial"/>
        </w:rPr>
        <w:t xml:space="preserve"> zł brutto.</w:t>
      </w:r>
    </w:p>
    <w:p w:rsidR="00B5319C" w:rsidRPr="003D22BB" w:rsidRDefault="00B5319C" w:rsidP="00404B2B">
      <w:pPr>
        <w:pStyle w:val="p"/>
        <w:jc w:val="both"/>
        <w:rPr>
          <w:rFonts w:ascii="Arial" w:hAnsi="Arial" w:cs="Arial"/>
        </w:rPr>
      </w:pPr>
    </w:p>
    <w:p w:rsidR="00870AD2" w:rsidRPr="00404B2B" w:rsidRDefault="00870AD2" w:rsidP="00404B2B">
      <w:pPr>
        <w:pStyle w:val="p"/>
        <w:jc w:val="both"/>
        <w:rPr>
          <w:rFonts w:ascii="Arial" w:hAnsi="Arial" w:cs="Arial"/>
        </w:rPr>
      </w:pPr>
      <w:r w:rsidRPr="00404B2B">
        <w:rPr>
          <w:rFonts w:ascii="Arial" w:hAnsi="Arial" w:cs="Arial"/>
        </w:rPr>
        <w:lastRenderedPageBreak/>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do kierowania robotami </w:t>
      </w:r>
      <w:r w:rsidR="00404B2B">
        <w:rPr>
          <w:rFonts w:ascii="Arial" w:hAnsi="Arial" w:cs="Arial"/>
        </w:rPr>
        <w:t xml:space="preserve"> </w:t>
      </w:r>
      <w:r w:rsidR="00D2234D">
        <w:rPr>
          <w:rFonts w:ascii="Arial" w:hAnsi="Arial" w:cs="Arial"/>
        </w:rPr>
        <w:t xml:space="preserve">budowlanymi w specjalności konstrukcyjno – budowlanej </w:t>
      </w:r>
      <w:r w:rsidRPr="00404B2B">
        <w:rPr>
          <w:rFonts w:ascii="Arial" w:hAnsi="Arial" w:cs="Arial"/>
        </w:rPr>
        <w:t xml:space="preserve">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D2234D" w:rsidRDefault="00D2234D" w:rsidP="00404B2B">
      <w:pPr>
        <w:pStyle w:val="p"/>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lastRenderedPageBreak/>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w:t>
      </w:r>
      <w:r w:rsidRPr="00EF7EAF">
        <w:rPr>
          <w:rFonts w:ascii="Arial" w:hAnsi="Arial" w:cs="Arial"/>
        </w:rPr>
        <w:lastRenderedPageBreak/>
        <w:t xml:space="preserve">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w:t>
      </w:r>
      <w:r w:rsidR="001B6CC0">
        <w:rPr>
          <w:rFonts w:ascii="Arial" w:hAnsi="Arial" w:cs="Arial"/>
        </w:rPr>
        <w:t>ę</w:t>
      </w:r>
      <w:r w:rsidRPr="00EF7EAF">
        <w:rPr>
          <w:rFonts w:ascii="Arial" w:hAnsi="Arial" w:cs="Arial"/>
        </w:rPr>
        <w:t xml:space="preserve">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w:t>
      </w:r>
      <w:r w:rsidRPr="00EF7EAF">
        <w:rPr>
          <w:rFonts w:ascii="Arial" w:hAnsi="Arial" w:cs="Arial"/>
        </w:rPr>
        <w:lastRenderedPageBreak/>
        <w:t>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46E2" w:rsidRDefault="009B46E2"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lastRenderedPageBreak/>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9B46E2" w:rsidRDefault="000C4575" w:rsidP="000C4575">
      <w:pPr>
        <w:pStyle w:val="p"/>
        <w:ind w:left="567"/>
        <w:jc w:val="both"/>
        <w:rPr>
          <w:rFonts w:ascii="Arial" w:hAnsi="Arial" w:cs="Arial"/>
          <w:i/>
        </w:rPr>
      </w:pPr>
      <w:r w:rsidRPr="009B46E2">
        <w:rPr>
          <w:rFonts w:ascii="Arial" w:hAnsi="Arial" w:cs="Arial"/>
          <w:i/>
        </w:rPr>
        <w:t>- Roboty przygotowawcze i rozbiórkowe,</w:t>
      </w:r>
    </w:p>
    <w:p w:rsidR="000C4575" w:rsidRPr="009B46E2" w:rsidRDefault="000C4575" w:rsidP="000C4575">
      <w:pPr>
        <w:pStyle w:val="p"/>
        <w:ind w:left="567"/>
        <w:jc w:val="both"/>
        <w:rPr>
          <w:rFonts w:ascii="Arial" w:hAnsi="Arial" w:cs="Arial"/>
          <w:i/>
        </w:rPr>
      </w:pPr>
      <w:r w:rsidRPr="009B46E2">
        <w:rPr>
          <w:rFonts w:ascii="Arial" w:hAnsi="Arial" w:cs="Arial"/>
          <w:i/>
        </w:rPr>
        <w:t xml:space="preserve">- Roboty </w:t>
      </w:r>
      <w:r w:rsidR="00FB7A40" w:rsidRPr="009B46E2">
        <w:rPr>
          <w:rFonts w:ascii="Arial" w:hAnsi="Arial" w:cs="Arial"/>
          <w:i/>
        </w:rPr>
        <w:t>montażowe i wykończeniowe</w:t>
      </w:r>
      <w:r w:rsidRPr="009B46E2">
        <w:rPr>
          <w:rFonts w:ascii="Arial" w:hAnsi="Arial" w:cs="Arial"/>
          <w:i/>
        </w:rPr>
        <w:t>,</w:t>
      </w:r>
    </w:p>
    <w:p w:rsidR="000C4575" w:rsidRPr="009B46E2" w:rsidRDefault="000C4575" w:rsidP="000C4575">
      <w:pPr>
        <w:pStyle w:val="p"/>
        <w:ind w:left="567"/>
        <w:jc w:val="both"/>
        <w:rPr>
          <w:rFonts w:ascii="Arial" w:hAnsi="Arial" w:cs="Arial"/>
          <w:i/>
        </w:rPr>
      </w:pPr>
      <w:r w:rsidRPr="009B46E2">
        <w:rPr>
          <w:rFonts w:ascii="Arial" w:hAnsi="Arial" w:cs="Arial"/>
          <w:i/>
        </w:rPr>
        <w:t xml:space="preserve">- </w:t>
      </w:r>
      <w:r w:rsidR="00FB7A40" w:rsidRPr="009B46E2">
        <w:rPr>
          <w:rFonts w:ascii="Arial" w:hAnsi="Arial" w:cs="Arial"/>
          <w:i/>
        </w:rPr>
        <w:t>Instalacja elektryczna</w:t>
      </w:r>
      <w:r w:rsidRPr="009B46E2">
        <w:rPr>
          <w:rFonts w:ascii="Arial" w:hAnsi="Arial" w:cs="Arial"/>
          <w:i/>
        </w:rPr>
        <w:t>,</w:t>
      </w:r>
    </w:p>
    <w:p w:rsidR="000C4575" w:rsidRDefault="000C4575" w:rsidP="000C4575">
      <w:pPr>
        <w:pStyle w:val="p"/>
        <w:ind w:left="567"/>
        <w:jc w:val="both"/>
        <w:rPr>
          <w:rFonts w:ascii="Arial" w:hAnsi="Arial" w:cs="Arial"/>
          <w:i/>
        </w:rPr>
      </w:pPr>
      <w:r w:rsidRPr="009B46E2">
        <w:rPr>
          <w:rFonts w:ascii="Arial" w:hAnsi="Arial" w:cs="Arial"/>
          <w:i/>
        </w:rPr>
        <w:t xml:space="preserve">- </w:t>
      </w:r>
      <w:r w:rsidR="00FB7A40" w:rsidRPr="009B46E2">
        <w:rPr>
          <w:rFonts w:ascii="Arial" w:hAnsi="Arial" w:cs="Arial"/>
          <w:i/>
        </w:rPr>
        <w:t>Instalacje sanitarne</w:t>
      </w:r>
      <w:r w:rsidR="00BA61C7" w:rsidRPr="009B46E2">
        <w:rPr>
          <w:rFonts w:ascii="Arial" w:hAnsi="Arial" w:cs="Arial"/>
          <w:i/>
        </w:rPr>
        <w:t>.</w:t>
      </w:r>
    </w:p>
    <w:p w:rsidR="009B46E2" w:rsidRPr="00EF7EAF" w:rsidRDefault="009B46E2"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lastRenderedPageBreak/>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.1. Wykonawca zobowiązany jest wnieść wadium w wysokości</w:t>
      </w:r>
      <w:r w:rsidR="007B5031" w:rsidRPr="00011C05">
        <w:rPr>
          <w:rFonts w:ascii="Arial" w:hAnsi="Arial" w:cs="Arial"/>
          <w:u w:val="single"/>
        </w:rPr>
        <w:t xml:space="preserve">: </w:t>
      </w:r>
      <w:r w:rsidR="00011C05" w:rsidRPr="00011C05">
        <w:rPr>
          <w:rFonts w:ascii="Arial" w:hAnsi="Arial" w:cs="Arial"/>
          <w:u w:val="single"/>
        </w:rPr>
        <w:t>1</w:t>
      </w:r>
      <w:r w:rsidR="007B5031" w:rsidRPr="00011C05">
        <w:rPr>
          <w:rFonts w:ascii="Arial" w:hAnsi="Arial" w:cs="Arial"/>
          <w:u w:val="single"/>
        </w:rPr>
        <w:t>.</w:t>
      </w:r>
      <w:r w:rsidR="00F76741">
        <w:rPr>
          <w:rFonts w:ascii="Arial" w:hAnsi="Arial" w:cs="Arial"/>
          <w:u w:val="single"/>
        </w:rPr>
        <w:t>5</w:t>
      </w:r>
      <w:r w:rsidR="007B5031" w:rsidRPr="00011C05">
        <w:rPr>
          <w:rFonts w:ascii="Arial" w:hAnsi="Arial" w:cs="Arial"/>
          <w:u w:val="single"/>
        </w:rPr>
        <w:t>00</w:t>
      </w:r>
      <w:r w:rsidR="007B5031" w:rsidRPr="00053975">
        <w:rPr>
          <w:rFonts w:ascii="Arial" w:hAnsi="Arial" w:cs="Arial"/>
          <w:u w:val="single"/>
        </w:rPr>
        <w:t>,00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3A3A9A"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D86B60">
        <w:rPr>
          <w:rStyle w:val="Pogrubienie"/>
          <w:rFonts w:ascii="Arial" w:eastAsia="Arial Unicode MS" w:hAnsi="Arial" w:cs="Arial"/>
          <w:sz w:val="20"/>
          <w:szCs w:val="20"/>
        </w:rPr>
        <w:t>55 1020 3541 0000 5602 0309 4943</w:t>
      </w:r>
      <w:r w:rsidR="003A3A9A">
        <w:rPr>
          <w:rStyle w:val="Pogrubienie"/>
          <w:rFonts w:ascii="Arial" w:eastAsia="Arial Unicode MS" w:hAnsi="Arial" w:cs="Arial"/>
          <w:b w:val="0"/>
          <w:sz w:val="20"/>
          <w:szCs w:val="2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B10BBD">
      <w:pPr>
        <w:pStyle w:val="p"/>
        <w:spacing w:line="360" w:lineRule="auto"/>
        <w:ind w:left="709" w:hanging="283"/>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0A4721" w:rsidRPr="00B10BBD">
        <w:rPr>
          <w:rStyle w:val="bold"/>
          <w:rFonts w:ascii="Arial" w:hAnsi="Arial" w:cs="Arial"/>
          <w:b w:val="0"/>
          <w:i/>
        </w:rPr>
        <w:t>„Utworzenie Klubu „Seniora+” wraz z wyposażeniem</w:t>
      </w:r>
      <w:r w:rsidR="00FB7A40">
        <w:rPr>
          <w:rStyle w:val="bold"/>
          <w:rFonts w:ascii="Arial" w:hAnsi="Arial" w:cs="Arial"/>
          <w:b w:val="0"/>
          <w:i/>
        </w:rPr>
        <w:t xml:space="preserve">                                      </w:t>
      </w:r>
      <w:r w:rsidR="000A4721" w:rsidRPr="00B10BBD">
        <w:rPr>
          <w:rStyle w:val="bold"/>
          <w:rFonts w:ascii="Arial" w:hAnsi="Arial" w:cs="Arial"/>
          <w:b w:val="0"/>
          <w:i/>
        </w:rPr>
        <w:t xml:space="preserve"> w miejscowości Kurki  na terenie Gminy Działdowo”</w:t>
      </w:r>
      <w:r w:rsidR="00B10BBD">
        <w:rPr>
          <w:rStyle w:val="bold"/>
          <w:rFonts w:ascii="Arial" w:hAnsi="Arial" w:cs="Arial"/>
          <w:b w:val="0"/>
          <w:i/>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1F1921" w:rsidRPr="00EF7EAF">
        <w:rPr>
          <w:rFonts w:ascii="Arial" w:hAnsi="Arial" w:cs="Arial"/>
        </w:rPr>
        <w:t>29</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985A9A">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Default="000C4575" w:rsidP="006D605A">
      <w:pPr>
        <w:spacing w:after="0" w:line="360" w:lineRule="auto"/>
        <w:ind w:left="720"/>
        <w:contextualSpacing/>
        <w:jc w:val="both"/>
        <w:rPr>
          <w:rFonts w:ascii="Arial" w:eastAsia="Calibri" w:hAnsi="Arial" w:cs="Arial"/>
          <w:b/>
          <w:u w:val="single"/>
          <w:lang w:eastAsia="en-US"/>
        </w:rPr>
      </w:pPr>
    </w:p>
    <w:p w:rsidR="00F76741" w:rsidRPr="00D86B60" w:rsidRDefault="00F76741"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F76741" w:rsidRPr="00D86B60" w:rsidRDefault="00F76741" w:rsidP="00012527">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3A3A9A"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3A3A9A">
        <w:rPr>
          <w:rStyle w:val="Pogrubienie"/>
          <w:rFonts w:ascii="Arial" w:eastAsia="Arial Unicode MS" w:hAnsi="Arial" w:cs="Arial"/>
          <w:b w:val="0"/>
          <w:sz w:val="20"/>
          <w:szCs w:val="20"/>
          <w:u w:val="single"/>
        </w:rPr>
        <w:t>55 1020 3541 0000 5602 0309 4943</w:t>
      </w:r>
      <w:r w:rsidRPr="003A3A9A">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lastRenderedPageBreak/>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F76741" w:rsidRDefault="00F76741"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005531E7">
        <w:rPr>
          <w:rFonts w:ascii="Arial" w:eastAsia="Calibri" w:hAnsi="Arial" w:cs="Arial"/>
          <w:i/>
          <w:lang w:eastAsia="en-US"/>
        </w:rPr>
        <w:t>Utworzenie Klubu „Seniora +” wraz z wyposażeniem w miejscowości Kurki na terenie Gminy Działdowo</w:t>
      </w:r>
      <w:r w:rsidR="00B5723C" w:rsidRPr="00B5723C">
        <w:rPr>
          <w:rFonts w:ascii="Arial" w:eastAsia="Calibri" w:hAnsi="Arial" w:cs="Arial"/>
          <w:i/>
          <w:lang w:eastAsia="en-US"/>
        </w:rPr>
        <w:t xml:space="preserve">” </w:t>
      </w:r>
      <w:r w:rsidRPr="00B5723C">
        <w:rPr>
          <w:rFonts w:ascii="Arial" w:eastAsia="Calibri" w:hAnsi="Arial" w:cs="Arial"/>
          <w:lang w:eastAsia="en-US"/>
        </w:rPr>
        <w:t xml:space="preserve">prowadzonym 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 xml:space="preserve">w celu realizacji zadań w interesie publicznym lub w ramach sprawowania władzy publicznej powierzonej administratorowi (art. 6 ust.1 lit e RODO) i w celu zawarcia i wykonania umowy </w:t>
      </w:r>
      <w:r w:rsidR="005531E7">
        <w:rPr>
          <w:rFonts w:ascii="Arial" w:eastAsia="Calibri" w:hAnsi="Arial" w:cs="Arial"/>
          <w:lang w:eastAsia="en-US"/>
        </w:rPr>
        <w:t xml:space="preserve">                            </w:t>
      </w:r>
      <w:r w:rsidRPr="00B5723C">
        <w:rPr>
          <w:rFonts w:ascii="Arial" w:eastAsia="Calibri" w:hAnsi="Arial" w:cs="Arial"/>
          <w:lang w:eastAsia="en-US"/>
        </w:rPr>
        <w:t>(art.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DB3C77">
        <w:rPr>
          <w:rFonts w:ascii="Arial" w:eastAsia="Times New Roman" w:hAnsi="Arial" w:cs="Arial"/>
        </w:rPr>
        <w:t>21</w:t>
      </w:r>
      <w:r w:rsidRPr="00D86B60">
        <w:rPr>
          <w:rFonts w:ascii="Arial" w:eastAsia="Times New Roman" w:hAnsi="Arial" w:cs="Arial"/>
        </w:rPr>
        <w:t xml:space="preserve">r. poz. </w:t>
      </w:r>
      <w:r w:rsidR="00DB3C77">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w:t>
      </w:r>
      <w:r w:rsidRPr="00D86B60">
        <w:rPr>
          <w:rFonts w:ascii="Arial" w:eastAsia="Times New Roman" w:hAnsi="Arial" w:cs="Arial"/>
        </w:rPr>
        <w:lastRenderedPageBreak/>
        <w:t xml:space="preserve">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76AE5" w:rsidRPr="00E10011" w:rsidRDefault="00E76AE5">
      <w:pPr>
        <w:pStyle w:val="p"/>
      </w:pP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97791E" w:rsidRDefault="0097791E"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lastRenderedPageBreak/>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Default="00F96C42" w:rsidP="00F96C42">
      <w:pPr>
        <w:numPr>
          <w:ilvl w:val="0"/>
          <w:numId w:val="7"/>
        </w:numPr>
        <w:rPr>
          <w:rFonts w:ascii="Arial" w:hAnsi="Arial" w:cs="Arial"/>
        </w:rPr>
      </w:pPr>
      <w:r w:rsidRPr="00D86B60">
        <w:rPr>
          <w:rFonts w:ascii="Arial" w:hAnsi="Arial" w:cs="Arial"/>
        </w:rPr>
        <w:t>Zobowiązanie podmiotu udostępniającego zasoby</w:t>
      </w:r>
      <w:r w:rsidR="001B3643">
        <w:rPr>
          <w:rFonts w:ascii="Arial" w:hAnsi="Arial" w:cs="Arial"/>
        </w:rPr>
        <w:t>;</w:t>
      </w:r>
    </w:p>
    <w:p w:rsidR="005531E7" w:rsidRPr="0097791E" w:rsidRDefault="009C5CA7" w:rsidP="005531E7">
      <w:pPr>
        <w:numPr>
          <w:ilvl w:val="0"/>
          <w:numId w:val="7"/>
        </w:numPr>
        <w:rPr>
          <w:rFonts w:ascii="Arial" w:hAnsi="Arial" w:cs="Arial"/>
        </w:rPr>
      </w:pPr>
      <w:r w:rsidRPr="0097791E">
        <w:rPr>
          <w:rFonts w:ascii="Arial" w:hAnsi="Arial" w:cs="Arial"/>
        </w:rPr>
        <w:t xml:space="preserve">Szczegółowy Opis Wyposażenia Klubu </w:t>
      </w:r>
      <w:r w:rsidR="0097791E">
        <w:rPr>
          <w:rFonts w:ascii="Arial" w:hAnsi="Arial" w:cs="Arial"/>
        </w:rPr>
        <w:t>„</w:t>
      </w:r>
      <w:r w:rsidRPr="0097791E">
        <w:rPr>
          <w:rFonts w:ascii="Arial" w:hAnsi="Arial" w:cs="Arial"/>
        </w:rPr>
        <w:t>Seniora +</w:t>
      </w:r>
      <w:r w:rsidR="0097791E">
        <w:rPr>
          <w:rFonts w:ascii="Arial" w:hAnsi="Arial" w:cs="Arial"/>
        </w:rPr>
        <w:t>”</w:t>
      </w:r>
      <w:r w:rsidRPr="0097791E">
        <w:rPr>
          <w:rFonts w:ascii="Arial" w:hAnsi="Arial" w:cs="Arial"/>
        </w:rPr>
        <w:t xml:space="preserve"> w Kurkach. </w:t>
      </w:r>
    </w:p>
    <w:sectPr w:rsidR="005531E7" w:rsidRPr="0097791E"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098" w:rsidRDefault="009C0098" w:rsidP="00FB747C">
      <w:pPr>
        <w:spacing w:after="0" w:line="240" w:lineRule="auto"/>
      </w:pPr>
      <w:r>
        <w:separator/>
      </w:r>
    </w:p>
  </w:endnote>
  <w:endnote w:type="continuationSeparator" w:id="1">
    <w:p w:rsidR="009C0098" w:rsidRDefault="009C0098"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3D3022" w:rsidRDefault="00094881">
        <w:pPr>
          <w:pStyle w:val="Stopka"/>
          <w:jc w:val="right"/>
        </w:pPr>
        <w:fldSimple w:instr=" PAGE   \* MERGEFORMAT ">
          <w:r w:rsidR="001B6CC0">
            <w:rPr>
              <w:noProof/>
            </w:rPr>
            <w:t>14</w:t>
          </w:r>
        </w:fldSimple>
      </w:p>
    </w:sdtContent>
  </w:sdt>
  <w:p w:rsidR="003D3022" w:rsidRDefault="003D302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098" w:rsidRDefault="009C0098" w:rsidP="00FB747C">
      <w:pPr>
        <w:spacing w:after="0" w:line="240" w:lineRule="auto"/>
      </w:pPr>
      <w:r>
        <w:separator/>
      </w:r>
    </w:p>
  </w:footnote>
  <w:footnote w:type="continuationSeparator" w:id="1">
    <w:p w:rsidR="009C0098" w:rsidRDefault="009C0098"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22" w:rsidRDefault="003D3022">
    <w:pPr>
      <w:pStyle w:val="Nagwek"/>
    </w:pPr>
  </w:p>
  <w:p w:rsidR="003D3022" w:rsidRDefault="003D302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22" w:rsidRDefault="003D3022">
    <w:pPr>
      <w:pStyle w:val="Nagwek"/>
    </w:pPr>
    <w:r w:rsidRPr="00B04FF0">
      <w:rPr>
        <w:noProof/>
      </w:rPr>
      <w:drawing>
        <wp:inline distT="0" distB="0" distL="0" distR="0">
          <wp:extent cx="2486025" cy="870424"/>
          <wp:effectExtent l="19050" t="0" r="9525" b="0"/>
          <wp:docPr id="1" name="Obraz 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pic:cNvPicPr>
                </pic:nvPicPr>
                <pic:blipFill>
                  <a:blip r:embed="rId1"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86025" cy="870424"/>
                  </a:xfrm>
                  <a:prstGeom prst="rect">
                    <a:avLst/>
                  </a:prstGeom>
                </pic:spPr>
              </pic:pic>
            </a:graphicData>
          </a:graphic>
        </wp:inline>
      </w:drawing>
    </w:r>
  </w:p>
  <w:p w:rsidR="003D3022" w:rsidRDefault="003D302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1D4EE7"/>
    <w:multiLevelType w:val="hybridMultilevel"/>
    <w:tmpl w:val="6F3A7C9E"/>
    <w:lvl w:ilvl="0" w:tplc="8F367EC2">
      <w:start w:val="1"/>
      <w:numFmt w:val="decimal"/>
      <w:lvlText w:val="%1)"/>
      <w:lvlJc w:val="left"/>
      <w:pPr>
        <w:ind w:left="2160" w:hanging="18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9DD5A80"/>
    <w:multiLevelType w:val="hybridMultilevel"/>
    <w:tmpl w:val="29340C98"/>
    <w:lvl w:ilvl="0" w:tplc="619629B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3"/>
  </w:num>
  <w:num w:numId="4">
    <w:abstractNumId w:val="34"/>
  </w:num>
  <w:num w:numId="5">
    <w:abstractNumId w:val="17"/>
  </w:num>
  <w:num w:numId="6">
    <w:abstractNumId w:val="0"/>
  </w:num>
  <w:num w:numId="7">
    <w:abstractNumId w:val="3"/>
  </w:num>
  <w:num w:numId="8">
    <w:abstractNumId w:val="28"/>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2"/>
  </w:num>
  <w:num w:numId="13">
    <w:abstractNumId w:val="7"/>
  </w:num>
  <w:num w:numId="14">
    <w:abstractNumId w:val="16"/>
  </w:num>
  <w:num w:numId="15">
    <w:abstractNumId w:val="19"/>
  </w:num>
  <w:num w:numId="16">
    <w:abstractNumId w:val="32"/>
  </w:num>
  <w:num w:numId="17">
    <w:abstractNumId w:val="15"/>
  </w:num>
  <w:num w:numId="18">
    <w:abstractNumId w:val="20"/>
  </w:num>
  <w:num w:numId="19">
    <w:abstractNumId w:val="35"/>
  </w:num>
  <w:num w:numId="20">
    <w:abstractNumId w:val="6"/>
  </w:num>
  <w:num w:numId="21">
    <w:abstractNumId w:val="29"/>
  </w:num>
  <w:num w:numId="22">
    <w:abstractNumId w:val="27"/>
  </w:num>
  <w:num w:numId="23">
    <w:abstractNumId w:val="18"/>
  </w:num>
  <w:num w:numId="24">
    <w:abstractNumId w:val="31"/>
  </w:num>
  <w:num w:numId="25">
    <w:abstractNumId w:val="8"/>
  </w:num>
  <w:num w:numId="26">
    <w:abstractNumId w:val="25"/>
  </w:num>
  <w:num w:numId="27">
    <w:abstractNumId w:val="30"/>
  </w:num>
  <w:num w:numId="28">
    <w:abstractNumId w:val="13"/>
  </w:num>
  <w:num w:numId="29">
    <w:abstractNumId w:val="26"/>
  </w:num>
  <w:num w:numId="30">
    <w:abstractNumId w:val="10"/>
  </w:num>
  <w:num w:numId="31">
    <w:abstractNumId w:val="5"/>
  </w:num>
  <w:num w:numId="32">
    <w:abstractNumId w:val="24"/>
  </w:num>
  <w:num w:numId="33">
    <w:abstractNumId w:val="1"/>
  </w:num>
  <w:num w:numId="34">
    <w:abstractNumId w:val="9"/>
  </w:num>
  <w:num w:numId="35">
    <w:abstractNumId w:val="21"/>
  </w:num>
  <w:num w:numId="36">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1C05"/>
    <w:rsid w:val="000122A9"/>
    <w:rsid w:val="00012527"/>
    <w:rsid w:val="00012ABE"/>
    <w:rsid w:val="0001452D"/>
    <w:rsid w:val="000245E1"/>
    <w:rsid w:val="00032669"/>
    <w:rsid w:val="00034260"/>
    <w:rsid w:val="00037EA2"/>
    <w:rsid w:val="00040657"/>
    <w:rsid w:val="00053975"/>
    <w:rsid w:val="00060AE7"/>
    <w:rsid w:val="00071C8D"/>
    <w:rsid w:val="00080973"/>
    <w:rsid w:val="00081088"/>
    <w:rsid w:val="000855ED"/>
    <w:rsid w:val="000916B9"/>
    <w:rsid w:val="00091892"/>
    <w:rsid w:val="00093397"/>
    <w:rsid w:val="00094881"/>
    <w:rsid w:val="000A2196"/>
    <w:rsid w:val="000A4721"/>
    <w:rsid w:val="000A4F28"/>
    <w:rsid w:val="000A55FF"/>
    <w:rsid w:val="000B6A9A"/>
    <w:rsid w:val="000C4575"/>
    <w:rsid w:val="000D0366"/>
    <w:rsid w:val="000D32E4"/>
    <w:rsid w:val="000D3783"/>
    <w:rsid w:val="000E29A5"/>
    <w:rsid w:val="000F22AE"/>
    <w:rsid w:val="000F4FA5"/>
    <w:rsid w:val="000F7F90"/>
    <w:rsid w:val="00105F30"/>
    <w:rsid w:val="00116769"/>
    <w:rsid w:val="0012552E"/>
    <w:rsid w:val="00134E49"/>
    <w:rsid w:val="00144BC5"/>
    <w:rsid w:val="0014634B"/>
    <w:rsid w:val="00156601"/>
    <w:rsid w:val="00166428"/>
    <w:rsid w:val="00166832"/>
    <w:rsid w:val="00180373"/>
    <w:rsid w:val="00182AA7"/>
    <w:rsid w:val="0019333A"/>
    <w:rsid w:val="00193E34"/>
    <w:rsid w:val="00197D94"/>
    <w:rsid w:val="001A297C"/>
    <w:rsid w:val="001B3643"/>
    <w:rsid w:val="001B60C2"/>
    <w:rsid w:val="001B61FB"/>
    <w:rsid w:val="001B6CC0"/>
    <w:rsid w:val="001C1146"/>
    <w:rsid w:val="001C6C9C"/>
    <w:rsid w:val="001D3493"/>
    <w:rsid w:val="001D430E"/>
    <w:rsid w:val="001E09BE"/>
    <w:rsid w:val="001E2BEF"/>
    <w:rsid w:val="001E6490"/>
    <w:rsid w:val="001F1921"/>
    <w:rsid w:val="001F7A3C"/>
    <w:rsid w:val="002018F7"/>
    <w:rsid w:val="0020662E"/>
    <w:rsid w:val="00215086"/>
    <w:rsid w:val="00224F74"/>
    <w:rsid w:val="0022620C"/>
    <w:rsid w:val="00227BB9"/>
    <w:rsid w:val="002344E7"/>
    <w:rsid w:val="002379BD"/>
    <w:rsid w:val="002564BC"/>
    <w:rsid w:val="00264F95"/>
    <w:rsid w:val="002827EA"/>
    <w:rsid w:val="00282FD6"/>
    <w:rsid w:val="00287BB4"/>
    <w:rsid w:val="00290CFC"/>
    <w:rsid w:val="002930C1"/>
    <w:rsid w:val="002A2F6D"/>
    <w:rsid w:val="002A6910"/>
    <w:rsid w:val="002B7E5B"/>
    <w:rsid w:val="002C706C"/>
    <w:rsid w:val="002D77A2"/>
    <w:rsid w:val="002E6E79"/>
    <w:rsid w:val="002F1EA4"/>
    <w:rsid w:val="002F308F"/>
    <w:rsid w:val="002F388D"/>
    <w:rsid w:val="002F5BBC"/>
    <w:rsid w:val="002F6CB1"/>
    <w:rsid w:val="0030372A"/>
    <w:rsid w:val="003059C8"/>
    <w:rsid w:val="00312B28"/>
    <w:rsid w:val="00315282"/>
    <w:rsid w:val="00316B0E"/>
    <w:rsid w:val="0032352C"/>
    <w:rsid w:val="00325FA8"/>
    <w:rsid w:val="003340C0"/>
    <w:rsid w:val="00343111"/>
    <w:rsid w:val="003442A8"/>
    <w:rsid w:val="00353E2B"/>
    <w:rsid w:val="00356FB7"/>
    <w:rsid w:val="00366B99"/>
    <w:rsid w:val="00367EB7"/>
    <w:rsid w:val="003833A6"/>
    <w:rsid w:val="003852E9"/>
    <w:rsid w:val="0039553F"/>
    <w:rsid w:val="003A3203"/>
    <w:rsid w:val="003A3A9A"/>
    <w:rsid w:val="003A4414"/>
    <w:rsid w:val="003A492A"/>
    <w:rsid w:val="003B1077"/>
    <w:rsid w:val="003B5097"/>
    <w:rsid w:val="003C2CA6"/>
    <w:rsid w:val="003C48EA"/>
    <w:rsid w:val="003C4D48"/>
    <w:rsid w:val="003D1AFB"/>
    <w:rsid w:val="003D22BB"/>
    <w:rsid w:val="003D3022"/>
    <w:rsid w:val="003D375D"/>
    <w:rsid w:val="003D4630"/>
    <w:rsid w:val="003E5FCA"/>
    <w:rsid w:val="003E6434"/>
    <w:rsid w:val="003F35D0"/>
    <w:rsid w:val="003F771F"/>
    <w:rsid w:val="0040435D"/>
    <w:rsid w:val="00404B2B"/>
    <w:rsid w:val="004063E8"/>
    <w:rsid w:val="00414A4C"/>
    <w:rsid w:val="00422039"/>
    <w:rsid w:val="00434CA5"/>
    <w:rsid w:val="00443806"/>
    <w:rsid w:val="00444B4E"/>
    <w:rsid w:val="004512EC"/>
    <w:rsid w:val="004562D3"/>
    <w:rsid w:val="00460BFD"/>
    <w:rsid w:val="004630B6"/>
    <w:rsid w:val="00474DE9"/>
    <w:rsid w:val="004803F8"/>
    <w:rsid w:val="0048249F"/>
    <w:rsid w:val="00484BF0"/>
    <w:rsid w:val="00491793"/>
    <w:rsid w:val="00493CCE"/>
    <w:rsid w:val="004A08A6"/>
    <w:rsid w:val="004A1820"/>
    <w:rsid w:val="004A575A"/>
    <w:rsid w:val="004A722D"/>
    <w:rsid w:val="004A78EC"/>
    <w:rsid w:val="004B4BB9"/>
    <w:rsid w:val="004C4EFE"/>
    <w:rsid w:val="004C6F7E"/>
    <w:rsid w:val="004E106B"/>
    <w:rsid w:val="004E1229"/>
    <w:rsid w:val="004E4EFA"/>
    <w:rsid w:val="004F3577"/>
    <w:rsid w:val="004F3C58"/>
    <w:rsid w:val="004F7785"/>
    <w:rsid w:val="005015E8"/>
    <w:rsid w:val="0050308A"/>
    <w:rsid w:val="00512D3D"/>
    <w:rsid w:val="0051374E"/>
    <w:rsid w:val="00515618"/>
    <w:rsid w:val="00516293"/>
    <w:rsid w:val="0053000D"/>
    <w:rsid w:val="00534BB3"/>
    <w:rsid w:val="00542A7D"/>
    <w:rsid w:val="005531E7"/>
    <w:rsid w:val="005609EC"/>
    <w:rsid w:val="00564789"/>
    <w:rsid w:val="005651AB"/>
    <w:rsid w:val="00573825"/>
    <w:rsid w:val="0057389C"/>
    <w:rsid w:val="00574563"/>
    <w:rsid w:val="00584E68"/>
    <w:rsid w:val="005A1311"/>
    <w:rsid w:val="005A6FB5"/>
    <w:rsid w:val="005B0A3A"/>
    <w:rsid w:val="005B2A3A"/>
    <w:rsid w:val="005B7727"/>
    <w:rsid w:val="005C1E73"/>
    <w:rsid w:val="005C71FC"/>
    <w:rsid w:val="005E6F36"/>
    <w:rsid w:val="005F2D18"/>
    <w:rsid w:val="005F4451"/>
    <w:rsid w:val="005F5595"/>
    <w:rsid w:val="005F7A58"/>
    <w:rsid w:val="00603178"/>
    <w:rsid w:val="006073CB"/>
    <w:rsid w:val="00610CC6"/>
    <w:rsid w:val="00616FE1"/>
    <w:rsid w:val="00623DA5"/>
    <w:rsid w:val="00625E98"/>
    <w:rsid w:val="00635810"/>
    <w:rsid w:val="00642B23"/>
    <w:rsid w:val="0064398B"/>
    <w:rsid w:val="00651FE8"/>
    <w:rsid w:val="00656AE0"/>
    <w:rsid w:val="00656B32"/>
    <w:rsid w:val="00666A04"/>
    <w:rsid w:val="00670E27"/>
    <w:rsid w:val="00673F52"/>
    <w:rsid w:val="00676034"/>
    <w:rsid w:val="00676727"/>
    <w:rsid w:val="00691F6B"/>
    <w:rsid w:val="0069311F"/>
    <w:rsid w:val="006A3CB1"/>
    <w:rsid w:val="006A71D2"/>
    <w:rsid w:val="006B1A32"/>
    <w:rsid w:val="006C3B1A"/>
    <w:rsid w:val="006C3DFF"/>
    <w:rsid w:val="006C6C25"/>
    <w:rsid w:val="006C7C1D"/>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9CF"/>
    <w:rsid w:val="00721E84"/>
    <w:rsid w:val="0072375F"/>
    <w:rsid w:val="007239EA"/>
    <w:rsid w:val="00726A10"/>
    <w:rsid w:val="00730FA1"/>
    <w:rsid w:val="00734661"/>
    <w:rsid w:val="00734E6F"/>
    <w:rsid w:val="00737028"/>
    <w:rsid w:val="00742329"/>
    <w:rsid w:val="00763BAB"/>
    <w:rsid w:val="007643CA"/>
    <w:rsid w:val="00773DB8"/>
    <w:rsid w:val="00774B10"/>
    <w:rsid w:val="00774EF9"/>
    <w:rsid w:val="0078032F"/>
    <w:rsid w:val="00783569"/>
    <w:rsid w:val="00786FAE"/>
    <w:rsid w:val="007A3620"/>
    <w:rsid w:val="007B5031"/>
    <w:rsid w:val="007C0E2E"/>
    <w:rsid w:val="007C70FE"/>
    <w:rsid w:val="007D2129"/>
    <w:rsid w:val="007E403A"/>
    <w:rsid w:val="007E4F51"/>
    <w:rsid w:val="007F5581"/>
    <w:rsid w:val="007F621F"/>
    <w:rsid w:val="007F6D2E"/>
    <w:rsid w:val="00803CF8"/>
    <w:rsid w:val="008118BF"/>
    <w:rsid w:val="00815A1E"/>
    <w:rsid w:val="00817564"/>
    <w:rsid w:val="00820E1D"/>
    <w:rsid w:val="008222B8"/>
    <w:rsid w:val="00827FCE"/>
    <w:rsid w:val="00830952"/>
    <w:rsid w:val="00837ECB"/>
    <w:rsid w:val="00846E9D"/>
    <w:rsid w:val="008554A1"/>
    <w:rsid w:val="0086065B"/>
    <w:rsid w:val="00870AD2"/>
    <w:rsid w:val="0087764B"/>
    <w:rsid w:val="008812F9"/>
    <w:rsid w:val="00881E8F"/>
    <w:rsid w:val="0088387E"/>
    <w:rsid w:val="008852DD"/>
    <w:rsid w:val="008867A8"/>
    <w:rsid w:val="00893FBD"/>
    <w:rsid w:val="00894C77"/>
    <w:rsid w:val="00896C4F"/>
    <w:rsid w:val="008B190E"/>
    <w:rsid w:val="008B2A0F"/>
    <w:rsid w:val="008B2F63"/>
    <w:rsid w:val="008B39CA"/>
    <w:rsid w:val="008B601E"/>
    <w:rsid w:val="008C58B2"/>
    <w:rsid w:val="008C7898"/>
    <w:rsid w:val="008E5A9F"/>
    <w:rsid w:val="008E742F"/>
    <w:rsid w:val="008F34C8"/>
    <w:rsid w:val="008F703D"/>
    <w:rsid w:val="009006F7"/>
    <w:rsid w:val="009025F1"/>
    <w:rsid w:val="00903A76"/>
    <w:rsid w:val="00910DE7"/>
    <w:rsid w:val="0091628A"/>
    <w:rsid w:val="00927E71"/>
    <w:rsid w:val="0093155C"/>
    <w:rsid w:val="00942F04"/>
    <w:rsid w:val="0094448A"/>
    <w:rsid w:val="009606E0"/>
    <w:rsid w:val="00962892"/>
    <w:rsid w:val="00962E47"/>
    <w:rsid w:val="00964A22"/>
    <w:rsid w:val="00973EBE"/>
    <w:rsid w:val="00975FA3"/>
    <w:rsid w:val="0097791E"/>
    <w:rsid w:val="00983364"/>
    <w:rsid w:val="00984F13"/>
    <w:rsid w:val="00985A9A"/>
    <w:rsid w:val="009A124D"/>
    <w:rsid w:val="009A2CEA"/>
    <w:rsid w:val="009A6D9F"/>
    <w:rsid w:val="009A71E3"/>
    <w:rsid w:val="009B46E2"/>
    <w:rsid w:val="009C0098"/>
    <w:rsid w:val="009C5CA7"/>
    <w:rsid w:val="009C645F"/>
    <w:rsid w:val="009E29ED"/>
    <w:rsid w:val="009E495A"/>
    <w:rsid w:val="009F7439"/>
    <w:rsid w:val="00A060F9"/>
    <w:rsid w:val="00A125F8"/>
    <w:rsid w:val="00A3665E"/>
    <w:rsid w:val="00A366DC"/>
    <w:rsid w:val="00A41610"/>
    <w:rsid w:val="00A4168B"/>
    <w:rsid w:val="00A45167"/>
    <w:rsid w:val="00A46374"/>
    <w:rsid w:val="00A50860"/>
    <w:rsid w:val="00A55CE3"/>
    <w:rsid w:val="00A60BF5"/>
    <w:rsid w:val="00A6234C"/>
    <w:rsid w:val="00A77CBF"/>
    <w:rsid w:val="00A92801"/>
    <w:rsid w:val="00A960DA"/>
    <w:rsid w:val="00AB5282"/>
    <w:rsid w:val="00AC3DC6"/>
    <w:rsid w:val="00AC6C38"/>
    <w:rsid w:val="00AD0A77"/>
    <w:rsid w:val="00AD0B17"/>
    <w:rsid w:val="00AD1FCB"/>
    <w:rsid w:val="00AD3072"/>
    <w:rsid w:val="00AD3889"/>
    <w:rsid w:val="00AE66CA"/>
    <w:rsid w:val="00AF39ED"/>
    <w:rsid w:val="00AF4884"/>
    <w:rsid w:val="00B04FF0"/>
    <w:rsid w:val="00B1049B"/>
    <w:rsid w:val="00B10805"/>
    <w:rsid w:val="00B10BBD"/>
    <w:rsid w:val="00B20077"/>
    <w:rsid w:val="00B21463"/>
    <w:rsid w:val="00B222F4"/>
    <w:rsid w:val="00B26C1A"/>
    <w:rsid w:val="00B30231"/>
    <w:rsid w:val="00B3052E"/>
    <w:rsid w:val="00B34671"/>
    <w:rsid w:val="00B42A56"/>
    <w:rsid w:val="00B42AEC"/>
    <w:rsid w:val="00B43F8B"/>
    <w:rsid w:val="00B46715"/>
    <w:rsid w:val="00B47ABA"/>
    <w:rsid w:val="00B5319C"/>
    <w:rsid w:val="00B55EEC"/>
    <w:rsid w:val="00B5723C"/>
    <w:rsid w:val="00B6124D"/>
    <w:rsid w:val="00B64B82"/>
    <w:rsid w:val="00B6625A"/>
    <w:rsid w:val="00B66927"/>
    <w:rsid w:val="00B81D40"/>
    <w:rsid w:val="00B861FE"/>
    <w:rsid w:val="00B904AF"/>
    <w:rsid w:val="00B92999"/>
    <w:rsid w:val="00B95E98"/>
    <w:rsid w:val="00B961FA"/>
    <w:rsid w:val="00BA0B6E"/>
    <w:rsid w:val="00BA61C7"/>
    <w:rsid w:val="00BA771E"/>
    <w:rsid w:val="00BB3C87"/>
    <w:rsid w:val="00BC0246"/>
    <w:rsid w:val="00BC1DFD"/>
    <w:rsid w:val="00BC402E"/>
    <w:rsid w:val="00BE0076"/>
    <w:rsid w:val="00BE4671"/>
    <w:rsid w:val="00BE51AA"/>
    <w:rsid w:val="00BE72D8"/>
    <w:rsid w:val="00BF0B55"/>
    <w:rsid w:val="00BF4D76"/>
    <w:rsid w:val="00C009B1"/>
    <w:rsid w:val="00C04331"/>
    <w:rsid w:val="00C11C9E"/>
    <w:rsid w:val="00C14226"/>
    <w:rsid w:val="00C15660"/>
    <w:rsid w:val="00C178EB"/>
    <w:rsid w:val="00C24058"/>
    <w:rsid w:val="00C27F08"/>
    <w:rsid w:val="00C34D48"/>
    <w:rsid w:val="00C4504E"/>
    <w:rsid w:val="00C47B22"/>
    <w:rsid w:val="00C56F24"/>
    <w:rsid w:val="00C60351"/>
    <w:rsid w:val="00C73351"/>
    <w:rsid w:val="00C76328"/>
    <w:rsid w:val="00C81F4E"/>
    <w:rsid w:val="00C83D54"/>
    <w:rsid w:val="00C85DDE"/>
    <w:rsid w:val="00C94144"/>
    <w:rsid w:val="00CA4AA1"/>
    <w:rsid w:val="00CB14EB"/>
    <w:rsid w:val="00CB32A2"/>
    <w:rsid w:val="00CB64D8"/>
    <w:rsid w:val="00CB7903"/>
    <w:rsid w:val="00CC2A7E"/>
    <w:rsid w:val="00CE1F19"/>
    <w:rsid w:val="00CF19E8"/>
    <w:rsid w:val="00D024F7"/>
    <w:rsid w:val="00D0421D"/>
    <w:rsid w:val="00D06889"/>
    <w:rsid w:val="00D11C48"/>
    <w:rsid w:val="00D12FDA"/>
    <w:rsid w:val="00D14802"/>
    <w:rsid w:val="00D2234D"/>
    <w:rsid w:val="00D234A6"/>
    <w:rsid w:val="00D4230F"/>
    <w:rsid w:val="00D4484D"/>
    <w:rsid w:val="00D46A50"/>
    <w:rsid w:val="00D5257F"/>
    <w:rsid w:val="00D54D74"/>
    <w:rsid w:val="00D611C4"/>
    <w:rsid w:val="00D63381"/>
    <w:rsid w:val="00D64990"/>
    <w:rsid w:val="00D71DFD"/>
    <w:rsid w:val="00D732C8"/>
    <w:rsid w:val="00D747EC"/>
    <w:rsid w:val="00D7626E"/>
    <w:rsid w:val="00D85879"/>
    <w:rsid w:val="00D86B60"/>
    <w:rsid w:val="00D90546"/>
    <w:rsid w:val="00DA0CD5"/>
    <w:rsid w:val="00DA65A7"/>
    <w:rsid w:val="00DB23C3"/>
    <w:rsid w:val="00DB3C77"/>
    <w:rsid w:val="00DC4A83"/>
    <w:rsid w:val="00DC7DC8"/>
    <w:rsid w:val="00DD2B24"/>
    <w:rsid w:val="00DE154C"/>
    <w:rsid w:val="00DE1DA7"/>
    <w:rsid w:val="00DE5016"/>
    <w:rsid w:val="00E10011"/>
    <w:rsid w:val="00E12CAC"/>
    <w:rsid w:val="00E200A7"/>
    <w:rsid w:val="00E231AC"/>
    <w:rsid w:val="00E25A06"/>
    <w:rsid w:val="00E2680F"/>
    <w:rsid w:val="00E31720"/>
    <w:rsid w:val="00E34D6E"/>
    <w:rsid w:val="00E37D10"/>
    <w:rsid w:val="00E4483A"/>
    <w:rsid w:val="00E54CB8"/>
    <w:rsid w:val="00E6681F"/>
    <w:rsid w:val="00E66ECD"/>
    <w:rsid w:val="00E745B8"/>
    <w:rsid w:val="00E76AE5"/>
    <w:rsid w:val="00E81D6B"/>
    <w:rsid w:val="00E84A96"/>
    <w:rsid w:val="00E907DE"/>
    <w:rsid w:val="00EA1DBB"/>
    <w:rsid w:val="00EA29EE"/>
    <w:rsid w:val="00EA522D"/>
    <w:rsid w:val="00EA7A01"/>
    <w:rsid w:val="00EB265F"/>
    <w:rsid w:val="00EB33C5"/>
    <w:rsid w:val="00EC1B49"/>
    <w:rsid w:val="00ED0576"/>
    <w:rsid w:val="00ED349B"/>
    <w:rsid w:val="00ED38CD"/>
    <w:rsid w:val="00ED76EA"/>
    <w:rsid w:val="00EE46DD"/>
    <w:rsid w:val="00EE4795"/>
    <w:rsid w:val="00EF69D0"/>
    <w:rsid w:val="00EF7EAF"/>
    <w:rsid w:val="00F01568"/>
    <w:rsid w:val="00F11578"/>
    <w:rsid w:val="00F118F1"/>
    <w:rsid w:val="00F11DAA"/>
    <w:rsid w:val="00F1638E"/>
    <w:rsid w:val="00F21DD5"/>
    <w:rsid w:val="00F317EB"/>
    <w:rsid w:val="00F36A62"/>
    <w:rsid w:val="00F37B53"/>
    <w:rsid w:val="00F41401"/>
    <w:rsid w:val="00F549F1"/>
    <w:rsid w:val="00F54B96"/>
    <w:rsid w:val="00F55AE2"/>
    <w:rsid w:val="00F63488"/>
    <w:rsid w:val="00F706A3"/>
    <w:rsid w:val="00F76741"/>
    <w:rsid w:val="00F8132C"/>
    <w:rsid w:val="00F83C3E"/>
    <w:rsid w:val="00F85C82"/>
    <w:rsid w:val="00F85F2E"/>
    <w:rsid w:val="00F96C42"/>
    <w:rsid w:val="00F979EF"/>
    <w:rsid w:val="00FB07B2"/>
    <w:rsid w:val="00FB7056"/>
    <w:rsid w:val="00FB747C"/>
    <w:rsid w:val="00FB7A40"/>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 w:type="paragraph" w:styleId="Bezodstpw">
    <w:name w:val="No Spacing"/>
    <w:uiPriority w:val="1"/>
    <w:qFormat/>
    <w:rsid w:val="0014634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1047-F9C7-4DA1-89D4-80FF285D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3308</TotalTime>
  <Pages>22</Pages>
  <Words>7473</Words>
  <Characters>44841</Characters>
  <Application>Microsoft Office Word</Application>
  <DocSecurity>0</DocSecurity>
  <Lines>373</Lines>
  <Paragraphs>104</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297</cp:revision>
  <cp:lastPrinted>2018-08-31T11:05:00Z</cp:lastPrinted>
  <dcterms:created xsi:type="dcterms:W3CDTF">2017-04-27T13:32:00Z</dcterms:created>
  <dcterms:modified xsi:type="dcterms:W3CDTF">2021-08-12T10:54:00Z</dcterms:modified>
  <cp:category/>
</cp:coreProperties>
</file>